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Proxima Nova" w:cs="Proxima Nova" w:eastAsia="Proxima Nova" w:hAnsi="Proxima Nova"/>
          <w:b/>
          <w:bCs/>
          <w:color w:val="0f4761"/>
          <w:sz w:val="40"/>
          <w:szCs w:val="40"/>
        </w:rPr>
        <w:t xml:space="preserve">Challenge Description:</w:t>
      </w:r>
    </w:p>
    <w:p>
      <w:pPr>
        <w:pStyle w:val="Heading2"/>
      </w:pPr>
      <w:r>
        <w:rPr>
          <w:rFonts w:ascii="Proxima Nova" w:cs="Proxima Nova" w:eastAsia="Proxima Nova" w:hAnsi="Proxima Nova"/>
          <w:b/>
          <w:bCs/>
          <w:color w:val="0f4761"/>
          <w:sz w:val="32"/>
          <w:szCs w:val="32"/>
        </w:rPr>
        <w:t xml:space="preserve">I. About UNHCR</w:t>
      </w:r>
    </w:p>
    <w:p>
      <w:pPr>
        <w:spacing w:after="140" w:line="276"/>
      </w:pPr>
      <w:r>
        <w:rPr>
          <w:rFonts w:ascii="Proxima Nova" w:cs="Proxima Nova" w:eastAsia="Proxima Nova" w:hAnsi="Proxima Nova"/>
          <w:sz w:val="22"/>
          <w:szCs w:val="22"/>
        </w:rPr>
        <w:t xml:space="preserve">UNHCR, the United Nations Refugee Agency, is a global organization dedicated to saving lives, protecting rights and building a better future for over 123 million forcibly displaced people including refugees, forcibly displaced communities and 4 million stateless people. We work to ensure that everybody has the right to seek asylum and find safe refuge, having fled violence, persecution, war or disaster at home. Since 1950, we have faced multiple crises on multiple continents, and provided vital assistance to refugees, asylum-seekers, internally displaced and stateless people, many of whom have nobody left to turn to. We help to save lives and build better futures for millions forced from home.</w:t>
      </w:r>
    </w:p>
    <w:p>
      <w:pPr>
        <w:pStyle w:val="Heading2"/>
      </w:pPr>
      <w:r>
        <w:rPr>
          <w:rFonts w:ascii="Proxima Nova" w:cs="Proxima Nova" w:eastAsia="Proxima Nova" w:hAnsi="Proxima Nova"/>
          <w:b/>
          <w:bCs/>
          <w:color w:val="0f4761"/>
          <w:sz w:val="32"/>
          <w:szCs w:val="32"/>
        </w:rPr>
        <w:t xml:space="preserve">1.1. About challenge poser team: UNHCR Innovation</w:t>
      </w:r>
    </w:p>
    <w:p>
      <w:pPr>
        <w:spacing w:after="140" w:line="276"/>
      </w:pPr>
      <w:hyperlink w:history="1" r:id="rIdjjc-a1f9-s818vpykgq6b">
        <w:r>
          <w:rPr>
            <w:rFonts w:ascii="Proxima Nova" w:cs="Proxima Nova" w:eastAsia="Proxima Nova" w:hAnsi="Proxima Nova"/>
            <w:color w:val="1155cc"/>
            <w:sz w:val="22"/>
            <w:szCs w:val="22"/>
            <w:u w:val="single"/>
          </w:rPr>
          <w:t xml:space="preserve">UNHCR's Innovation Service</w:t>
        </w:r>
      </w:hyperlink>
      <w:r>
        <w:rPr>
          <w:rFonts w:ascii="Proxima Nova" w:cs="Proxima Nova" w:eastAsia="Proxima Nova" w:hAnsi="Proxima Nova"/>
          <w:sz w:val="22"/>
          <w:szCs w:val="22"/>
        </w:rPr>
        <w:t xml:space="preserve"> is committed to creating an enabling environment for innovation to flourish in UNHCR by equipping staff with the knowledge, resources, and skills needed to ensure that they can increasingly draw on structured innovation to solve the most pressing challenges. We create safe spaces for experimentation to take place in field operations, as well as at Headquarters, whilst instilling a future-oriented approach into how we solve problems.</w:t>
      </w:r>
    </w:p>
    <w:p>
      <w:pPr>
        <w:pStyle w:val="Heading2"/>
      </w:pPr>
      <w:r>
        <w:rPr>
          <w:rFonts w:ascii="Proxima Nova" w:cs="Proxima Nova" w:eastAsia="Proxima Nova" w:hAnsi="Proxima Nova"/>
          <w:b/>
          <w:bCs/>
          <w:color w:val="0f4761"/>
          <w:sz w:val="32"/>
          <w:szCs w:val="32"/>
        </w:rPr>
        <w:t xml:space="preserve">1.2. Humanitarian Challenge: human oversight of AI-supported assistance targeting (cash assistance, a UNHCR country operation in Latin America)</w:t>
      </w:r>
    </w:p>
    <w:p>
      <w:pPr>
        <w:spacing w:after="140" w:line="276"/>
      </w:pPr>
      <w:r>
        <w:rPr>
          <w:rFonts w:ascii="Proxima Nova" w:cs="Proxima Nova" w:eastAsia="Proxima Nova" w:hAnsi="Proxima Nova"/>
          <w:sz w:val="22"/>
          <w:szCs w:val="22"/>
        </w:rPr>
        <w:t xml:space="preserve">Targeting decides which forcibly displaced households receive scarce cash assistance. In the country operation behind this challenge, a caseworker's targeting assessment determines whether a household is included in or excluded from the programme. The incumbent instrument is an expert-designed Scorecard completed by registration staff during the targeting interview: it scores demographics, needs and coping mechanisms, adds administrative checks (asylum-procedure status, stated intentions, duplication) and produces a vulnerability category and an eligibility determination. Machine-learning prediction is increasingly used to inform that decision, and the sector's answer is a mixed design: the model produces a shortlist and humanitarian experts refine it case by case. Because an error decides who receives assistance, that review is required to be rigorous.</w:t>
      </w:r>
    </w:p>
    <w:p>
      <w:pPr>
        <w:spacing w:after="140" w:line="276"/>
      </w:pPr>
      <w:r>
        <w:rPr>
          <w:rFonts w:ascii="Proxima Nova" w:cs="Proxima Nova" w:eastAsia="Proxima Nova" w:hAnsi="Proxima Nova"/>
          <w:sz w:val="22"/>
          <w:szCs w:val="22"/>
        </w:rPr>
        <w:t xml:space="preserve">Three features make the caseworker's judgment the hardest of any AI-assisted decision. The caseworker never learns whether a household was correctly included or excluded, so the judgment cannot be corrected by experience. The affected household is absent from the decision and cannot contest it, so the caseworker is the only check on the recommendation. And assistance is rationed, so every wrongful inclusion is someone else's exclusion: one accepted error costs two households.</w:t>
      </w:r>
    </w:p>
    <w:p>
      <w:pPr>
        <w:spacing w:after="140" w:line="276"/>
      </w:pPr>
      <w:r>
        <w:rPr>
          <w:rFonts w:ascii="Proxima Nova" w:cs="Proxima Nova" w:eastAsia="Proxima Nova" w:hAnsi="Proxima Nova"/>
          <w:b/>
          <w:bCs/>
          <w:sz w:val="22"/>
          <w:szCs w:val="22"/>
        </w:rPr>
        <w:t xml:space="preserve">What we built. </w:t>
      </w:r>
      <w:r>
        <w:rPr>
          <w:rFonts w:ascii="Proxima Nova" w:cs="Proxima Nova" w:eastAsia="Proxima Nova" w:hAnsi="Proxima Nova"/>
          <w:sz w:val="22"/>
          <w:szCs w:val="22"/>
        </w:rPr>
        <w:t xml:space="preserve">Cashy is a prediction-based decision-support prototype built in the operation's data-collection platform (KoboToolbox). Two engines share the work. The answer engine, an AutoML tabular model (AutoGluon) trained on about 19,900 historical Scorecard records, produces the vulnerability score, the vulnerability category and the include-or-exclude recommendation. The reasoning engine, a large language model fed the same anonymized household data, writes the case summary, ranking and vulnerability narrative shown beside that answer. On a held-out, class-balanced test set of 1,828 records, Cashy reproduces the Scorecard score almost exactly (R² = 0.9998, mean absolute error 0.03 points) and the vulnerability category (accuracy 99.6%), but predicts the include-or-exclude determination, the outcome that matters, only weakly (accuracy 67.6%, AUC = 0.70), and errs towards inclusion (recall 82% for inclusion, 53% for exclusion). Eligibility is weakest because it depends on criteria outside the features, such as resource availability.</w:t>
      </w:r>
    </w:p>
    <w:p>
      <w:pPr>
        <w:spacing w:after="140" w:line="276"/>
      </w:pPr>
      <w:r>
        <w:rPr>
          <w:rFonts w:ascii="Proxima Nova" w:cs="Proxima Nova" w:eastAsia="Proxima Nova" w:hAnsi="Proxima Nova"/>
          <w:b/>
          <w:bCs/>
          <w:sz w:val="22"/>
          <w:szCs w:val="22"/>
        </w:rPr>
        <w:t xml:space="preserve">What we found. </w:t>
      </w:r>
      <w:r>
        <w:rPr>
          <w:rFonts w:ascii="Proxima Nova" w:cs="Proxima Nova" w:eastAsia="Proxima Nova" w:hAnsi="Proxima Nova"/>
          <w:sz w:val="22"/>
          <w:szCs w:val="22"/>
        </w:rPr>
        <w:t xml:space="preserve">In a randomized between-subjects experiment, 31 caseworkers of the operation each assessed five real, already-decided households in Cashy, with or without Responsible-AI statements on the decision screen: a Process-of-Thought panel describing how the system reasons in general and a Process-Guarantees panel promising transparency, accountability ("a person reviews and takes the final decision, not the AI") and responsibility (full text in Annex II). Neither panel said anything about the household under review, so nothing in them could be verified against the case. Where Cashy's recommendation contradicted the operation's own determination, caseworkers without the statements overrode it on 96.2% of assessments and caseworkers with the statements on 66.7%, a risk difference of 29.5 percentage points (95% CI 11.9 to 47.0, p = .007). Nobody in either arm overrode a sound recommendation. End-to-end decision accuracy fell from 83.1% to 68.9%. Both arms rated the flawed answers below their reasoning by the same margin, so the statements changed the decision, not the judgment behind it. And the post-session ratings of the tool against the UN system's AI principles (fairness, accountability, do no harm, human autonomy, transparency) did not register the loss: no principle was rated lower under the statements and two were rated higher, in the arm that overrode less. Of the twelve flawed recommendations accepted under the statements, eight would have withheld assistance from a household the operation had found eligible.</w:t>
      </w:r>
    </w:p>
    <w:p>
      <w:pPr>
        <w:spacing w:after="140" w:line="276"/>
      </w:pPr>
      <w:r>
        <w:rPr>
          <w:rFonts w:ascii="Proxima Nova" w:cs="Proxima Nova" w:eastAsia="Proxima Nova" w:hAnsi="Proxima Nova"/>
          <w:sz w:val="22"/>
          <w:szCs w:val="22"/>
        </w:rPr>
        <w:t xml:space="preserve">The research question behind the experiment was: How do Responsible-AI statements affect professional caseworkers' responses to AI recommendations in a humanitarian assistance targeting prototype? The answer was that a statement about the system's conduct worked as a cue about its competence, and that no rating revealed the loss of oversight. Only behavior did.</w:t>
      </w:r>
    </w:p>
    <w:p>
      <w:pPr>
        <w:spacing w:after="140" w:line="276"/>
      </w:pPr>
      <w:r>
        <w:rPr>
          <w:rFonts w:ascii="Proxima Nova" w:cs="Proxima Nova" w:eastAsia="Proxima Nova" w:hAnsi="Proxima Nova"/>
          <w:b/>
          <w:bCs/>
          <w:sz w:val="22"/>
          <w:szCs w:val="22"/>
        </w:rPr>
        <w:t xml:space="preserve">The challenge is: </w:t>
      </w:r>
      <w:r>
        <w:rPr>
          <w:rFonts w:ascii="Proxima Nova" w:cs="Proxima Nova" w:eastAsia="Proxima Nova" w:hAnsi="Proxima Nova"/>
          <w:b/>
          <w:bCs/>
          <w:i/>
          <w:iCs/>
          <w:sz w:val="22"/>
          <w:szCs w:val="22"/>
        </w:rPr>
        <w:t xml:space="preserve">How might we design, measure and monitor appropriate reliance so that the caseworker who stands between an AI recommendation and a displaced household keeps overriding the system when it is wrong, and so that the institution can see when that oversight erodes?</w:t>
      </w:r>
    </w:p>
    <w:p>
      <w:pPr>
        <w:spacing w:after="140" w:line="276"/>
      </w:pPr>
      <w:r>
        <w:rPr>
          <w:rFonts w:ascii="Proxima Nova" w:cs="Proxima Nova" w:eastAsia="Proxima Nova" w:hAnsi="Proxima Nova"/>
          <w:sz w:val="22"/>
          <w:szCs w:val="22"/>
        </w:rPr>
        <w:t xml:space="preserve">The stakes are concrete. At the rates observed, every 1,000 discordant cases would carry about 295 more decisions against the operation's own standard, and under a fixed budget each wrongful inclusion is someone else's exclusion. Explanations, cognitive forcing and uncertainty displays act on the person at the moment of decision; what the operation lacks are instruments that act on the record, so that a fall in correct override becomes visible before a system reaches a consequential decision and stays visible in production. The three recommendations of the study, keep Responsible-AI statements off the decision screen, run an override audit before deployment, and record override in production, are the starting points for your team, not the limits.</w:t>
      </w:r>
    </w:p>
    <w:p>
      <w:pPr>
        <w:pStyle w:val="Heading1"/>
      </w:pPr>
      <w:r>
        <w:rPr>
          <w:rFonts w:ascii="Proxima Nova" w:cs="Proxima Nova" w:eastAsia="Proxima Nova" w:hAnsi="Proxima Nova"/>
          <w:b/>
          <w:bCs/>
          <w:color w:val="0f4761"/>
          <w:sz w:val="40"/>
          <w:szCs w:val="40"/>
        </w:rPr>
        <w:t xml:space="preserve">Data:</w:t>
      </w:r>
    </w:p>
    <w:p>
      <w:pPr>
        <w:spacing w:after="140" w:line="276"/>
      </w:pPr>
      <w:r>
        <w:rPr>
          <w:rFonts w:ascii="Proxima Nova" w:cs="Proxima Nova" w:eastAsia="Proxima Nova" w:hAnsi="Proxima Nova"/>
          <w:sz w:val="22"/>
          <w:szCs w:val="22"/>
        </w:rPr>
        <w:t xml:space="preserve">Please refer to Annex I for the data dictionary and Annex II for the experiment instruments and reference results.</w:t>
      </w:r>
    </w:p>
    <w:p>
      <w:pPr>
        <w:pStyle w:val="ListParagraph"/>
        <w:numPr>
          <w:ilvl w:val="0"/>
          <w:numId w:val="2"/>
        </w:numPr>
        <w:spacing w:after="100" w:line="276"/>
      </w:pPr>
      <w:r>
        <w:rPr>
          <w:rFonts w:ascii="Proxima Nova" w:cs="Proxima Nova" w:eastAsia="Proxima Nova" w:hAnsi="Proxima Nova"/>
          <w:b/>
          <w:bCs/>
          <w:sz w:val="22"/>
          <w:szCs w:val="22"/>
        </w:rPr>
        <w:t xml:space="preserve">Data folder</w:t>
      </w:r>
      <w:r>
        <w:rPr>
          <w:rFonts w:ascii="Proxima Nova" w:cs="Proxima Nova" w:eastAsia="Proxima Nova" w:hAnsi="Proxima Nova"/>
          <w:sz w:val="22"/>
          <w:szCs w:val="22"/>
        </w:rPr>
        <w:t xml:space="preserve">:</w:t>
      </w:r>
    </w:p>
    <w:p>
      <w:pPr>
        <w:spacing w:after="140" w:line="276"/>
      </w:pPr>
      <w:r>
        <w:rPr>
          <w:rFonts w:ascii="Proxima Nova" w:cs="Proxima Nova" w:eastAsia="Proxima Nova" w:hAnsi="Proxima Nova"/>
          <w:b/>
          <w:bCs/>
          <w:sz w:val="22"/>
          <w:szCs w:val="22"/>
        </w:rPr>
        <w:t xml:space="preserve">Notes data datasets: </w:t>
      </w:r>
      <w:r>
        <w:rPr>
          <w:rFonts w:ascii="Proxima Nova" w:cs="Proxima Nova" w:eastAsia="Proxima Nova" w:hAnsi="Proxima Nova"/>
          <w:i/>
          <w:iCs/>
          <w:sz w:val="22"/>
          <w:szCs w:val="22"/>
        </w:rPr>
        <w:t xml:space="preserve">S8. Synthetic Scorecard records (S8.synthetic_cashy_sample.csv)</w:t>
      </w:r>
    </w:p>
    <w:p>
      <w:pPr>
        <w:spacing w:after="140" w:line="276"/>
      </w:pPr>
      <w:r>
        <w:rPr>
          <w:rFonts w:ascii="Proxima Nova" w:cs="Proxima Nova" w:eastAsia="Proxima Nova" w:hAnsi="Proxima Nova"/>
          <w:sz w:val="22"/>
          <w:szCs w:val="22"/>
        </w:rPr>
        <w:t xml:space="preserve">The dataset provided for this challenge is a synthetic sample generated from the historical Scorecard corpus on which Cashy's answer engine was trained. It contains no real household. It preserves the Scorecard's structure, the value sets of each variable and the score arithmetic, so that a Cashy-like model can be built and instrumented on it, but it is not a faithful copy of the operation's distribution, and results obtained on it should not be presented as findings about the operation.</w:t>
      </w:r>
    </w:p>
    <w:p>
      <w:pPr>
        <w:pStyle w:val="ListParagraph"/>
        <w:numPr>
          <w:ilvl w:val="0"/>
          <w:numId w:val="2"/>
        </w:numPr>
        <w:spacing w:after="100" w:line="276"/>
      </w:pPr>
      <w:r>
        <w:rPr>
          <w:rFonts w:ascii="Proxima Nova" w:cs="Proxima Nova" w:eastAsia="Proxima Nova" w:hAnsi="Proxima Nova"/>
          <w:sz w:val="22"/>
          <w:szCs w:val="22"/>
        </w:rPr>
        <w:t xml:space="preserve">1,900 rows and 26 columns; one row is one household assessed at a targeting interview. The </w:t>
      </w:r>
      <w:r>
        <w:rPr>
          <w:rFonts w:ascii="Proxima Nova" w:cs="Proxima Nova" w:eastAsia="Proxima Nova" w:hAnsi="Proxima Nova"/>
          <w:b/>
          <w:bCs/>
          <w:sz w:val="22"/>
          <w:szCs w:val="22"/>
        </w:rPr>
        <w:t xml:space="preserve">month</w:t>
      </w:r>
      <w:r>
        <w:rPr>
          <w:rFonts w:ascii="Proxima Nova" w:cs="Proxima Nova" w:eastAsia="Proxima Nova" w:hAnsi="Proxima Nova"/>
          <w:sz w:val="22"/>
          <w:szCs w:val="22"/>
        </w:rPr>
        <w:t xml:space="preserve"> column runs from 2023-06 to 2024-07. Column names are the operation's own, in Spanish or English; Annex I translates every one of them.</w:t>
      </w:r>
    </w:p>
    <w:p>
      <w:pPr>
        <w:pStyle w:val="ListParagraph"/>
        <w:numPr>
          <w:ilvl w:val="0"/>
          <w:numId w:val="2"/>
        </w:numPr>
        <w:spacing w:after="100" w:line="276"/>
      </w:pPr>
      <w:r>
        <w:rPr>
          <w:rFonts w:ascii="Proxima Nova" w:cs="Proxima Nova" w:eastAsia="Proxima Nova" w:hAnsi="Proxima Nova"/>
          <w:sz w:val="22"/>
          <w:szCs w:val="22"/>
        </w:rPr>
        <w:t xml:space="preserve">Columns fall in five blocks: (1) eight Scorecard </w:t>
      </w:r>
      <w:r>
        <w:rPr>
          <w:rFonts w:ascii="Proxima Nova" w:cs="Proxima Nova" w:eastAsia="Proxima Nova" w:hAnsi="Proxima Nova"/>
          <w:b/>
          <w:bCs/>
          <w:sz w:val="22"/>
          <w:szCs w:val="22"/>
        </w:rPr>
        <w:t xml:space="preserve">factor scores</w:t>
      </w:r>
      <w:r>
        <w:rPr>
          <w:rFonts w:ascii="Proxima Nova" w:cs="Proxima Nova" w:eastAsia="Proxima Nova" w:hAnsi="Proxima Nova"/>
          <w:sz w:val="22"/>
          <w:szCs w:val="22"/>
        </w:rPr>
        <w:t xml:space="preserve"> (four Demographics, four Needs and Coping), each taking three or four discrete values between 1.0 and 3.25, where a higher value marks a more vulnerable profile; (2) </w:t>
      </w:r>
      <w:r>
        <w:rPr>
          <w:rFonts w:ascii="Proxima Nova" w:cs="Proxima Nova" w:eastAsia="Proxima Nova" w:hAnsi="Proxima Nova"/>
          <w:b/>
          <w:bCs/>
          <w:sz w:val="22"/>
          <w:szCs w:val="22"/>
        </w:rPr>
        <w:t xml:space="preserve">household attributes</w:t>
      </w:r>
      <w:r>
        <w:rPr>
          <w:rFonts w:ascii="Proxima Nova" w:cs="Proxima Nova" w:eastAsia="Proxima Nova" w:hAnsi="Proxima Nova"/>
          <w:sz w:val="22"/>
          <w:szCs w:val="22"/>
        </w:rPr>
        <w:t xml:space="preserve">: office code, household size, dependency category, female-headed household, sole carer, Spanish spoken by an adult, adult illiteracy; (3) three </w:t>
      </w:r>
      <w:r>
        <w:rPr>
          <w:rFonts w:ascii="Proxima Nova" w:cs="Proxima Nova" w:eastAsia="Proxima Nova" w:hAnsi="Proxima Nova"/>
          <w:b/>
          <w:bCs/>
          <w:sz w:val="22"/>
          <w:szCs w:val="22"/>
        </w:rPr>
        <w:t xml:space="preserve">administrative flags</w:t>
      </w:r>
      <w:r>
        <w:rPr>
          <w:rFonts w:ascii="Proxima Nova" w:cs="Proxima Nova" w:eastAsia="Proxima Nova" w:hAnsi="Proxima Nova"/>
          <w:sz w:val="22"/>
          <w:szCs w:val="22"/>
        </w:rPr>
        <w:t xml:space="preserve"> that take 0 or ±500 (asylum-procedure status, stated intentions, duplication); (4) </w:t>
      </w:r>
      <w:r>
        <w:rPr>
          <w:rFonts w:ascii="Proxima Nova" w:cs="Proxima Nova" w:eastAsia="Proxima Nova" w:hAnsi="Proxima Nova"/>
          <w:b/>
          <w:bCs/>
          <w:sz w:val="22"/>
          <w:szCs w:val="22"/>
        </w:rPr>
        <w:t xml:space="preserve">aggregated scores</w:t>
      </w:r>
      <w:r>
        <w:rPr>
          <w:rFonts w:ascii="Proxima Nova" w:cs="Proxima Nova" w:eastAsia="Proxima Nova" w:hAnsi="Proxima Nova"/>
          <w:sz w:val="22"/>
          <w:szCs w:val="22"/>
        </w:rPr>
        <w:t xml:space="preserve">: Demographics_Score, NeedsandCoping_Score, Vulnerability_Score and FinalScore; and (5) </w:t>
      </w:r>
      <w:r>
        <w:rPr>
          <w:rFonts w:ascii="Proxima Nova" w:cs="Proxima Nova" w:eastAsia="Proxima Nova" w:hAnsi="Proxima Nova"/>
          <w:b/>
          <w:bCs/>
          <w:sz w:val="22"/>
          <w:szCs w:val="22"/>
        </w:rPr>
        <w:t xml:space="preserve">outcomes</w:t>
      </w:r>
      <w:r>
        <w:rPr>
          <w:rFonts w:ascii="Proxima Nova" w:cs="Proxima Nova" w:eastAsia="Proxima Nova" w:hAnsi="Proxima Nova"/>
          <w:sz w:val="22"/>
          <w:szCs w:val="22"/>
        </w:rPr>
        <w:t xml:space="preserve">: the six-value eligibility status (Elegibilidad), the four-band Vulnerability_Category and the binary EligibilityTarget.</w:t>
      </w:r>
    </w:p>
    <w:p>
      <w:pPr>
        <w:pStyle w:val="ListParagraph"/>
        <w:numPr>
          <w:ilvl w:val="0"/>
          <w:numId w:val="2"/>
        </w:numPr>
        <w:spacing w:after="100" w:line="276"/>
      </w:pPr>
      <w:r>
        <w:rPr>
          <w:rFonts w:ascii="Proxima Nova" w:cs="Proxima Nova" w:eastAsia="Proxima Nova" w:hAnsi="Proxima Nova"/>
          <w:sz w:val="22"/>
          <w:szCs w:val="22"/>
        </w:rPr>
        <w:t xml:space="preserve">Score arithmetic: FinalScore equals Demographics_Score plus NeedsandCoping_Score (differences below 1.5 points come from rounding in generation), Vulnerability_Score is a monotonic transform of FinalScore, and Vulnerability_Category is a banding of FinalScore (Baja up to about 24, Moderada about 25 to 37, Elevada about 31 to 52, Severa above 52; the bands overlap slightly in the synthetic sample). These are the quantities Cashy reproduces almost exactly.</w:t>
      </w:r>
    </w:p>
    <w:p>
      <w:pPr>
        <w:pStyle w:val="ListParagraph"/>
        <w:numPr>
          <w:ilvl w:val="0"/>
          <w:numId w:val="2"/>
        </w:numPr>
        <w:spacing w:after="100" w:line="276"/>
      </w:pPr>
      <w:r>
        <w:rPr>
          <w:rFonts w:ascii="Proxima Nova" w:cs="Proxima Nova" w:eastAsia="Proxima Nova" w:hAnsi="Proxima Nova"/>
          <w:sz w:val="22"/>
          <w:szCs w:val="22"/>
        </w:rPr>
        <w:t xml:space="preserve">Class balance: Vulnerability_Category has 775 Baja, 394 Moderada, 612 Elevada and 119 Severa rows. EligibilityTarget has 427 INCLUSION (22.5%) and 1,473 EXCLUSION rows. Elegibilidad maps deterministically onto EligibilityTarget: Elegible and Elegible por Proceso Acelerado are INCLUSION; No Elegible, Lista de Reserva (waiting list), No Elegible por Intenciones and No Elegible por Duplicidad are EXCLUSION.</w:t>
      </w:r>
    </w:p>
    <w:p>
      <w:pPr>
        <w:pStyle w:val="ListParagraph"/>
        <w:numPr>
          <w:ilvl w:val="0"/>
          <w:numId w:val="2"/>
        </w:numPr>
        <w:spacing w:after="100" w:line="276"/>
      </w:pPr>
      <w:r>
        <w:rPr>
          <w:rFonts w:ascii="Proxima Nova" w:cs="Proxima Nova" w:eastAsia="Proxima Nova" w:hAnsi="Proxima Nova"/>
          <w:b/>
          <w:bCs/>
          <w:sz w:val="22"/>
          <w:szCs w:val="22"/>
        </w:rPr>
        <w:t xml:space="preserve">Note: </w:t>
      </w:r>
      <w:r>
        <w:rPr>
          <w:rFonts w:ascii="Proxima Nova" w:cs="Proxima Nova" w:eastAsia="Proxima Nova" w:hAnsi="Proxima Nova"/>
          <w:sz w:val="22"/>
          <w:szCs w:val="22"/>
        </w:rPr>
        <w:t xml:space="preserve">in the synthetic sample eligibility is almost unrelated to the score (mean FinalScore 28.7 for INCLUSION against 27.5 for EXCLUSION, and every vulnerability band contains both outcomes). This reproduces, in exaggerated form, what the real data showed: the score and the category can be computed from the features, but the determination depends on criteria outside them. Do not benchmark eligibility accuracy on this sample against the 67.6% reported for the real held-out set; use it to build, instrument and test the workflow, not to claim model performance.</w:t>
      </w:r>
    </w:p>
    <w:p>
      <w:pPr>
        <w:pStyle w:val="ListParagraph"/>
        <w:numPr>
          <w:ilvl w:val="0"/>
          <w:numId w:val="2"/>
        </w:numPr>
        <w:spacing w:after="100" w:line="276"/>
      </w:pPr>
      <w:r>
        <w:rPr>
          <w:rFonts w:ascii="Proxima Nova" w:cs="Proxima Nova" w:eastAsia="Proxima Nova" w:hAnsi="Proxima Nova"/>
          <w:b/>
          <w:bCs/>
          <w:sz w:val="22"/>
          <w:szCs w:val="22"/>
        </w:rPr>
        <w:t xml:space="preserve">Structural missing values: </w:t>
      </w:r>
      <w:r>
        <w:rPr>
          <w:rFonts w:ascii="Proxima Nova" w:cs="Proxima Nova" w:eastAsia="Proxima Nova" w:hAnsi="Proxima Nova"/>
          <w:sz w:val="22"/>
          <w:szCs w:val="22"/>
        </w:rPr>
        <w:t xml:space="preserve">the 925 single-person households (NumIntegrantes = 1) have blank FemaleHeadedHousehold and CuidadorSolo, because the questions are not asked of them; ScoreCOMAR_PIL is blank for 960 rows where the procedure check did not apply; OficinaACNUR is blank for 21 rows. Treat these as "not applicable", not as errors to impute away.</w:t>
      </w:r>
    </w:p>
    <w:p>
      <w:pPr>
        <w:pStyle w:val="ListParagraph"/>
        <w:numPr>
          <w:ilvl w:val="0"/>
          <w:numId w:val="2"/>
        </w:numPr>
        <w:spacing w:after="100" w:line="276"/>
      </w:pPr>
      <w:r>
        <w:rPr>
          <w:rFonts w:ascii="Proxima Nova" w:cs="Proxima Nova" w:eastAsia="Proxima Nova" w:hAnsi="Proxima Nova"/>
          <w:sz w:val="22"/>
          <w:szCs w:val="22"/>
        </w:rPr>
        <w:t xml:space="preserve">Office codes (OficinaACNUR) are anonymized labels for seven field offices; one office holds 67% of the rows. Inclusion rates are similar across offices (17% to 26%).</w:t>
      </w:r>
    </w:p>
    <w:p>
      <w:pPr>
        <w:pStyle w:val="ListParagraph"/>
        <w:numPr>
          <w:ilvl w:val="0"/>
          <w:numId w:val="2"/>
        </w:numPr>
        <w:spacing w:after="100" w:line="276"/>
      </w:pPr>
      <w:r>
        <w:rPr>
          <w:rFonts w:ascii="Proxima Nova" w:cs="Proxima Nova" w:eastAsia="Proxima Nova" w:hAnsi="Proxima Nova"/>
          <w:sz w:val="22"/>
          <w:szCs w:val="22"/>
        </w:rPr>
        <w:t xml:space="preserve">The fields in this file are the fields the Cashy answer engine received. A household's row, rendered as a registration record, is what a caseworker sees on the review screen together with Cashy's reasoning and answer, so the sample is also the raw material for building review-screen stimuli.</w:t>
      </w:r>
    </w:p>
    <w:p>
      <w:pPr>
        <w:spacing w:after="140" w:line="276"/>
      </w:pPr>
      <w:r>
        <w:rPr>
          <w:rFonts w:ascii="Proxima Nova" w:cs="Proxima Nova" w:eastAsia="Proxima Nova" w:hAnsi="Proxima Nova"/>
          <w:b/>
          <w:bCs/>
          <w:sz w:val="22"/>
          <w:szCs w:val="22"/>
        </w:rPr>
        <w:t xml:space="preserve">Notes data datasets: </w:t>
      </w:r>
      <w:r>
        <w:rPr>
          <w:rFonts w:ascii="Proxima Nova" w:cs="Proxima Nova" w:eastAsia="Proxima Nova" w:hAnsi="Proxima Nova"/>
          <w:i/>
          <w:iCs/>
          <w:sz w:val="22"/>
          <w:szCs w:val="22"/>
        </w:rPr>
        <w:t xml:space="preserve">Experiment materials (Annex II and supplementary files)</w:t>
      </w:r>
    </w:p>
    <w:p>
      <w:pPr>
        <w:spacing w:after="140" w:line="276"/>
      </w:pPr>
      <w:r>
        <w:rPr>
          <w:rFonts w:ascii="Proxima Nova" w:cs="Proxima Nova" w:eastAsia="Proxima Nova" w:hAnsi="Proxima Nova"/>
          <w:sz w:val="22"/>
          <w:szCs w:val="22"/>
        </w:rPr>
        <w:t xml:space="preserve">The experiment's instruments are reproduced in Annex II so that teams can rebuild the workflow and compare their measurements with the reference values: the full text of the two Responsible-AI statement panels, the seven items answered after each assessment, the five post-session principle items, the five household cases with Cashy's and the Scorecard's outputs, and the appropriate-reliance decomposition by arm. Where released for the hackathon, the Data folder also contains the participant briefing (S1), the codebook of the open comments (S2), the analysis code (S3), the de-identified assessment-level data (S4, 155 assessments from 31 participants) and principle-ratings data (S5), the model card (S6), the Cashy AutoML code (S7) and the redacted household narratives (S9). Household records and free-text comments are withheld because they could identify participants or households.</w:t>
      </w:r>
    </w:p>
    <w:p>
      <w:pPr>
        <w:pStyle w:val="Heading1"/>
      </w:pPr>
      <w:r>
        <w:rPr>
          <w:rFonts w:ascii="Proxima Nova" w:cs="Proxima Nova" w:eastAsia="Proxima Nova" w:hAnsi="Proxima Nova"/>
          <w:b/>
          <w:bCs/>
          <w:color w:val="0f4761"/>
          <w:sz w:val="40"/>
          <w:szCs w:val="40"/>
        </w:rPr>
        <w:t xml:space="preserve">Expectations:</w:t>
      </w:r>
    </w:p>
    <w:p>
      <w:pPr>
        <w:spacing w:after="140" w:line="276"/>
      </w:pPr>
      <w:r>
        <w:rPr>
          <w:rFonts w:ascii="Proxima Nova" w:cs="Proxima Nova" w:eastAsia="Proxima Nova" w:hAnsi="Proxima Nova"/>
          <w:sz w:val="22"/>
          <w:szCs w:val="22"/>
        </w:rPr>
        <w:t xml:space="preserve">This is a 48-hour hackathon. Design with an innovation mindset out of the box, but stay on the research question: what changes what a caseworker does with an AI recommendation, and how can the institution see it. We are open to diverse solution types, including but not limited to a combination of the following:</w:t>
      </w:r>
    </w:p>
    <w:p>
      <w:pPr>
        <w:pStyle w:val="ListParagraph"/>
        <w:numPr>
          <w:ilvl w:val="0"/>
          <w:numId w:val="2"/>
        </w:numPr>
        <w:spacing w:after="100" w:line="276"/>
      </w:pPr>
      <w:r>
        <w:rPr>
          <w:rFonts w:ascii="Proxima Nova" w:cs="Proxima Nova" w:eastAsia="Proxima Nova" w:hAnsi="Proxima Nova"/>
          <w:b/>
          <w:bCs/>
          <w:sz w:val="22"/>
          <w:szCs w:val="22"/>
        </w:rPr>
        <w:t xml:space="preserve">An instrumented targeting prototype</w:t>
      </w:r>
      <w:r>
        <w:rPr>
          <w:rFonts w:ascii="Proxima Nova" w:cs="Proxima Nova" w:eastAsia="Proxima Nova" w:hAnsi="Proxima Nova"/>
          <w:sz w:val="22"/>
          <w:szCs w:val="22"/>
        </w:rPr>
        <w:t xml:space="preserve">: a Cashy-like model on the synthetic sample (score and category reproduction, eligibility prediction with calibrated uncertainty, per-case feature attribution) wrapped in a review screen that shows reasoning and answer as separate outputs, requires each to be endorsed on its own, and logs agreement, override, the reasons given and the reasoning-answer rating gap for every assessment.</w:t>
      </w:r>
    </w:p>
    <w:p>
      <w:pPr>
        <w:pStyle w:val="ListParagraph"/>
        <w:numPr>
          <w:ilvl w:val="0"/>
          <w:numId w:val="2"/>
        </w:numPr>
        <w:spacing w:after="100" w:line="276"/>
      </w:pPr>
      <w:r>
        <w:rPr>
          <w:rFonts w:ascii="Proxima Nova" w:cs="Proxima Nova" w:eastAsia="Proxima Nova" w:hAnsi="Proxima Nova"/>
          <w:b/>
          <w:bCs/>
          <w:sz w:val="22"/>
          <w:szCs w:val="22"/>
        </w:rPr>
        <w:t xml:space="preserve">An override audit toolkit</w:t>
      </w:r>
      <w:r>
        <w:rPr>
          <w:rFonts w:ascii="Proxima Nova" w:cs="Proxima Nova" w:eastAsia="Proxima Nova" w:hAnsi="Proxima Nova"/>
          <w:sz w:val="22"/>
          <w:szCs w:val="22"/>
        </w:rPr>
        <w:t xml:space="preserve">: a reusable protocol and code to select adjudicated cases spanning concordant and discordant recommendations, withhold the incumbent determination, collect the AI-assisted decision blind, reveal the determination and collect the second decision, and score override against the incumbent. It should return the appropriate-reliance decomposition (correct override, over-reliance, correct acceptance, under-reliance) and end-to-end accuracy with confidence intervals, handle clustering by participant, and tell an operation how many caseworkers and cases it needs to detect a given loss of override.</w:t>
      </w:r>
    </w:p>
    <w:p>
      <w:pPr>
        <w:pStyle w:val="ListParagraph"/>
        <w:numPr>
          <w:ilvl w:val="0"/>
          <w:numId w:val="2"/>
        </w:numPr>
        <w:spacing w:after="100" w:line="276"/>
      </w:pPr>
      <w:r>
        <w:rPr>
          <w:rFonts w:ascii="Proxima Nova" w:cs="Proxima Nova" w:eastAsia="Proxima Nova" w:hAnsi="Proxima Nova"/>
          <w:b/>
          <w:bCs/>
          <w:sz w:val="22"/>
          <w:szCs w:val="22"/>
        </w:rPr>
        <w:t xml:space="preserve">Decision-screen designs and an experiment plan</w:t>
      </w:r>
      <w:r>
        <w:rPr>
          <w:rFonts w:ascii="Proxima Nova" w:cs="Proxima Nova" w:eastAsia="Proxima Nova" w:hAnsi="Proxima Nova"/>
          <w:sz w:val="22"/>
          <w:szCs w:val="22"/>
        </w:rPr>
        <w:t xml:space="preserve">: interface variants that keep Responsible-AI statements off the decision screen (and put them in training and documentation instead), separate the Process-of-Thought and Process-Guarantees panels whose effects the study could not tell apart, or test cognitive-forcing, uncertainty or verifiable case-level cues, each with a pre-specified confirmatory contrast and minimum detectable effect.</w:t>
      </w:r>
    </w:p>
    <w:p>
      <w:pPr>
        <w:pStyle w:val="ListParagraph"/>
        <w:numPr>
          <w:ilvl w:val="0"/>
          <w:numId w:val="2"/>
        </w:numPr>
        <w:spacing w:after="100" w:line="276"/>
      </w:pPr>
      <w:r>
        <w:rPr>
          <w:rFonts w:ascii="Proxima Nova" w:cs="Proxima Nova" w:eastAsia="Proxima Nova" w:hAnsi="Proxima Nova"/>
          <w:b/>
          <w:bCs/>
          <w:sz w:val="22"/>
          <w:szCs w:val="22"/>
        </w:rPr>
        <w:t xml:space="preserve">A production override monitor</w:t>
      </w:r>
      <w:r>
        <w:rPr>
          <w:rFonts w:ascii="Proxima Nova" w:cs="Proxima Nova" w:eastAsia="Proxima Nova" w:hAnsi="Proxima Nova"/>
          <w:sz w:val="22"/>
          <w:szCs w:val="22"/>
        </w:rPr>
        <w:t xml:space="preserve">: a dashboard (Power BI compatible, the operation's reporting standard) that records override in production, tracks correct-override and over-reliance rates over time, by office, vulnerability band and error direction (wrongful inclusion against wrongful exclusion), and raises a falling override rate as an event a named owner must explain.</w:t>
      </w:r>
    </w:p>
    <w:p>
      <w:pPr>
        <w:pStyle w:val="ListParagraph"/>
        <w:numPr>
          <w:ilvl w:val="0"/>
          <w:numId w:val="2"/>
        </w:numPr>
        <w:spacing w:after="100" w:line="276"/>
      </w:pPr>
      <w:r>
        <w:rPr>
          <w:rFonts w:ascii="Proxima Nova" w:cs="Proxima Nova" w:eastAsia="Proxima Nova" w:hAnsi="Proxima Nova"/>
          <w:b/>
          <w:bCs/>
          <w:sz w:val="22"/>
          <w:szCs w:val="22"/>
        </w:rPr>
        <w:t xml:space="preserve">Behavior-first governance instruments</w:t>
      </w:r>
      <w:r>
        <w:rPr>
          <w:rFonts w:ascii="Proxima Nova" w:cs="Proxima Nova" w:eastAsia="Proxima Nova" w:hAnsi="Proxima Nova"/>
          <w:sz w:val="22"/>
          <w:szCs w:val="22"/>
        </w:rPr>
        <w:t xml:space="preserve">: methods that combine principle ratings, model cards and self-assessment checklists with behavioral evidence, so that a system is judged on how it is used and not only on how it is perceived; including early indicators such as unprompted endorsement in open comments, which in the study went with four times the over-reliance.</w:t>
      </w:r>
    </w:p>
    <w:p>
      <w:pPr>
        <w:pStyle w:val="ListParagraph"/>
        <w:numPr>
          <w:ilvl w:val="0"/>
          <w:numId w:val="2"/>
        </w:numPr>
        <w:spacing w:after="100" w:line="276"/>
      </w:pPr>
      <w:r>
        <w:rPr>
          <w:rFonts w:ascii="Proxima Nova" w:cs="Proxima Nova" w:eastAsia="Proxima Nova" w:hAnsi="Proxima Nova"/>
          <w:b/>
          <w:bCs/>
          <w:sz w:val="22"/>
          <w:szCs w:val="22"/>
        </w:rPr>
        <w:t xml:space="preserve">Research designs for the follow-up</w:t>
      </w:r>
      <w:r>
        <w:rPr>
          <w:rFonts w:ascii="Proxima Nova" w:cs="Proxima Nova" w:eastAsia="Proxima Nova" w:hAnsi="Proxima Nova"/>
          <w:sz w:val="22"/>
          <w:szCs w:val="22"/>
        </w:rPr>
        <w:t xml:space="preserve">: an independent expert panel rating each answer and reasoning against the case file, a second coder for the comments, a participatory study with displaced households who never see the decision made about them, or a replication in a second operation or another domain where the decision-maker never learns the outcome.</w:t>
      </w:r>
    </w:p>
    <w:p>
      <w:pPr>
        <w:spacing w:after="140" w:line="276"/>
      </w:pPr>
      <w:r>
        <w:rPr>
          <w:rFonts w:ascii="Proxima Nova" w:cs="Proxima Nova" w:eastAsia="Proxima Nova" w:hAnsi="Proxima Nova"/>
          <w:b/>
          <w:bCs/>
          <w:sz w:val="22"/>
          <w:szCs w:val="22"/>
        </w:rPr>
        <w:t xml:space="preserve">Solution evaluation criteria: </w:t>
      </w:r>
      <w:r>
        <w:rPr>
          <w:rFonts w:ascii="Proxima Nova" w:cs="Proxima Nova" w:eastAsia="Proxima Nova" w:hAnsi="Proxima Nova"/>
          <w:sz w:val="22"/>
          <w:szCs w:val="22"/>
        </w:rPr>
        <w:t xml:space="preserve">fidelity to the research question; rigor of measurement (reliance decomposed rather than a single agreement rate, participants treated as the unit of randomization, confidence intervals reported); explainability and separation of reasoning from answer; feasibility in the operation's stack (KoboToolbox forms, Python, Power BI); do-no-harm (no real household data, no assistance at stake, no identification of caseworkers); cost and maintainability by an information-management team; and reproducibility (code and instructions that another operation could run).</w:t>
      </w:r>
    </w:p>
    <w:p>
      <w:pPr>
        <w:pStyle w:val="Heading1"/>
      </w:pPr>
      <w:r>
        <w:rPr>
          <w:rFonts w:ascii="Proxima Nova" w:cs="Proxima Nova" w:eastAsia="Proxima Nova" w:hAnsi="Proxima Nova"/>
          <w:b/>
          <w:bCs/>
          <w:color w:val="0f4761"/>
          <w:sz w:val="40"/>
          <w:szCs w:val="40"/>
        </w:rPr>
        <w:t xml:space="preserve">Requirements:</w:t>
      </w:r>
    </w:p>
    <w:p>
      <w:pPr>
        <w:spacing w:after="140" w:line="276"/>
      </w:pPr>
      <w:r>
        <w:rPr>
          <w:rFonts w:ascii="Proxima Nova" w:cs="Proxima Nova" w:eastAsia="Proxima Nova" w:hAnsi="Proxima Nova"/>
          <w:sz w:val="22"/>
          <w:szCs w:val="22"/>
        </w:rPr>
        <w:t xml:space="preserve">Please refer to Annex III for the research questions posed by the humanitarian team and to Annex IV for the ethical and human-rights considerations that apply to assistance-targeting data and to AI-assisted decisions over vulnerable populations.</w:t>
      </w:r>
    </w:p>
    <w:p>
      <w:pPr>
        <w:spacing w:after="140" w:line="276"/>
      </w:pPr>
      <w:r>
        <w:rPr>
          <w:rFonts w:ascii="Proxima Nova" w:cs="Proxima Nova" w:eastAsia="Proxima Nova" w:hAnsi="Proxima Nova"/>
          <w:sz w:val="22"/>
          <w:szCs w:val="22"/>
        </w:rPr>
        <w:t xml:space="preserve">Ideally your design should include as requirements:</w:t>
      </w:r>
    </w:p>
    <w:p>
      <w:pPr>
        <w:pStyle w:val="ListParagraph"/>
        <w:numPr>
          <w:ilvl w:val="0"/>
          <w:numId w:val="2"/>
        </w:numPr>
        <w:spacing w:after="100" w:line="276"/>
      </w:pPr>
      <w:r>
        <w:rPr>
          <w:rFonts w:ascii="Proxima Nova" w:cs="Proxima Nova" w:eastAsia="Proxima Nova" w:hAnsi="Proxima Nova"/>
          <w:b/>
          <w:bCs/>
          <w:sz w:val="22"/>
          <w:szCs w:val="22"/>
        </w:rPr>
        <w:t xml:space="preserve">Synthetic data only: </w:t>
      </w:r>
      <w:r>
        <w:rPr>
          <w:rFonts w:ascii="Proxima Nova" w:cs="Proxima Nova" w:eastAsia="Proxima Nova" w:hAnsi="Proxima Nova"/>
          <w:sz w:val="22"/>
          <w:szCs w:val="22"/>
        </w:rPr>
        <w:t xml:space="preserve">work exclusively on the synthetic sample and the released materials; do not attempt to reconstruct, link or re-identify households, caseworkers or offices, and present results as properties of the synthetic sample.</w:t>
      </w:r>
    </w:p>
    <w:p>
      <w:pPr>
        <w:pStyle w:val="ListParagraph"/>
        <w:numPr>
          <w:ilvl w:val="0"/>
          <w:numId w:val="2"/>
        </w:numPr>
        <w:spacing w:after="100" w:line="276"/>
      </w:pPr>
      <w:r>
        <w:rPr>
          <w:rFonts w:ascii="Proxima Nova" w:cs="Proxima Nova" w:eastAsia="Proxima Nova" w:hAnsi="Proxima Nova"/>
          <w:b/>
          <w:bCs/>
          <w:sz w:val="22"/>
          <w:szCs w:val="22"/>
        </w:rPr>
        <w:t xml:space="preserve">Reasoning and answer kept apart: </w:t>
      </w:r>
      <w:r>
        <w:rPr>
          <w:rFonts w:ascii="Proxima Nova" w:cs="Proxima Nova" w:eastAsia="Proxima Nova" w:hAnsi="Proxima Nova"/>
          <w:sz w:val="22"/>
          <w:szCs w:val="22"/>
        </w:rPr>
        <w:t xml:space="preserve">any prototype or screen must present the system's reasoning and its recommendation as separate outputs and record the caseworker's judgment of each; "I agree" must not be accepted as a single act.</w:t>
      </w:r>
    </w:p>
    <w:p>
      <w:pPr>
        <w:pStyle w:val="ListParagraph"/>
        <w:numPr>
          <w:ilvl w:val="0"/>
          <w:numId w:val="2"/>
        </w:numPr>
        <w:spacing w:after="100" w:line="276"/>
      </w:pPr>
      <w:r>
        <w:rPr>
          <w:rFonts w:ascii="Proxima Nova" w:cs="Proxima Nova" w:eastAsia="Proxima Nova" w:hAnsi="Proxima Nova"/>
          <w:b/>
          <w:bCs/>
          <w:sz w:val="22"/>
          <w:szCs w:val="22"/>
        </w:rPr>
        <w:t xml:space="preserve">Reliance decomposed: </w:t>
      </w:r>
      <w:r>
        <w:rPr>
          <w:rFonts w:ascii="Proxima Nova" w:cs="Proxima Nova" w:eastAsia="Proxima Nova" w:hAnsi="Proxima Nova"/>
          <w:sz w:val="22"/>
          <w:szCs w:val="22"/>
        </w:rPr>
        <w:t xml:space="preserve">report correct override, over-reliance, correct acceptance and under-reliance separately, on concordant and discordant cases, with Wilson or equivalent confidence intervals; never a single agreement or accuracy rate alone.</w:t>
      </w:r>
    </w:p>
    <w:p>
      <w:pPr>
        <w:pStyle w:val="ListParagraph"/>
        <w:numPr>
          <w:ilvl w:val="0"/>
          <w:numId w:val="2"/>
        </w:numPr>
        <w:spacing w:after="100" w:line="276"/>
      </w:pPr>
      <w:r>
        <w:rPr>
          <w:rFonts w:ascii="Proxima Nova" w:cs="Proxima Nova" w:eastAsia="Proxima Nova" w:hAnsi="Proxima Nova"/>
          <w:b/>
          <w:bCs/>
          <w:sz w:val="22"/>
          <w:szCs w:val="22"/>
        </w:rPr>
        <w:t xml:space="preserve">Reference standard named: </w:t>
      </w:r>
      <w:r>
        <w:rPr>
          <w:rFonts w:ascii="Proxima Nova" w:cs="Proxima Nova" w:eastAsia="Proxima Nova" w:hAnsi="Proxima Nova"/>
          <w:sz w:val="22"/>
          <w:szCs w:val="22"/>
        </w:rPr>
        <w:t xml:space="preserve">"correct" means agreement with the operation's own recorded determination, the standard caseworkers are accountable to; state that it is not ground truth about the household's need.</w:t>
      </w:r>
    </w:p>
    <w:p>
      <w:pPr>
        <w:pStyle w:val="ListParagraph"/>
        <w:numPr>
          <w:ilvl w:val="0"/>
          <w:numId w:val="2"/>
        </w:numPr>
        <w:spacing w:after="100" w:line="276"/>
      </w:pPr>
      <w:r>
        <w:rPr>
          <w:rFonts w:ascii="Proxima Nova" w:cs="Proxima Nova" w:eastAsia="Proxima Nova" w:hAnsi="Proxima Nova"/>
          <w:b/>
          <w:bCs/>
          <w:sz w:val="22"/>
          <w:szCs w:val="22"/>
        </w:rPr>
        <w:t xml:space="preserve">Clustering and power: </w:t>
      </w:r>
      <w:r>
        <w:rPr>
          <w:rFonts w:ascii="Proxima Nova" w:cs="Proxima Nova" w:eastAsia="Proxima Nova" w:hAnsi="Proxima Nova"/>
          <w:sz w:val="22"/>
          <w:szCs w:val="22"/>
        </w:rPr>
        <w:t xml:space="preserve">assessments from the same caseworker are not independent; analyze at the participant level or with participant-clustered models, and report the minimum detectable effect rather than post hoc power.</w:t>
      </w:r>
    </w:p>
    <w:p>
      <w:pPr>
        <w:pStyle w:val="ListParagraph"/>
        <w:numPr>
          <w:ilvl w:val="0"/>
          <w:numId w:val="2"/>
        </w:numPr>
        <w:spacing w:after="100" w:line="276"/>
      </w:pPr>
      <w:r>
        <w:rPr>
          <w:rFonts w:ascii="Proxima Nova" w:cs="Proxima Nova" w:eastAsia="Proxima Nova" w:hAnsi="Proxima Nova"/>
          <w:b/>
          <w:bCs/>
          <w:sz w:val="22"/>
          <w:szCs w:val="22"/>
        </w:rPr>
        <w:t xml:space="preserve">Modeling approach: </w:t>
      </w:r>
      <w:r>
        <w:rPr>
          <w:rFonts w:ascii="Proxima Nova" w:cs="Proxima Nova" w:eastAsia="Proxima Nova" w:hAnsi="Proxima Nova"/>
          <w:sz w:val="22"/>
          <w:szCs w:val="22"/>
        </w:rPr>
        <w:t xml:space="preserve">if you build a model, document it (a model card is the expected format), report inclusion and exclusion recall separately, and say which decisions the features can and cannot support.</w:t>
      </w:r>
    </w:p>
    <w:p>
      <w:pPr>
        <w:pStyle w:val="ListParagraph"/>
        <w:numPr>
          <w:ilvl w:val="0"/>
          <w:numId w:val="2"/>
        </w:numPr>
        <w:spacing w:after="100" w:line="276"/>
      </w:pPr>
      <w:r>
        <w:rPr>
          <w:rFonts w:ascii="Proxima Nova" w:cs="Proxima Nova" w:eastAsia="Proxima Nova" w:hAnsi="Proxima Nova"/>
          <w:b/>
          <w:bCs/>
          <w:sz w:val="22"/>
          <w:szCs w:val="22"/>
        </w:rPr>
        <w:t xml:space="preserve">Deliverables: </w:t>
      </w:r>
      <w:r>
        <w:rPr>
          <w:rFonts w:ascii="Proxima Nova" w:cs="Proxima Nova" w:eastAsia="Proxima Nova" w:hAnsi="Proxima Nova"/>
          <w:sz w:val="22"/>
          <w:szCs w:val="22"/>
        </w:rPr>
        <w:t xml:space="preserve">a repository with code and a README, a five-minute demo, and a two-page note that states the contrast you propose to test, the outcome measure, the sample needed and what a positive and a negative result would mean for the operation.</w:t>
      </w:r>
    </w:p>
    <w:p>
      <w:pPr>
        <w:spacing w:after="140" w:line="276"/>
      </w:pPr>
      <w:r>
        <w:rPr>
          <w:rFonts w:ascii="Proxima Nova" w:cs="Proxima Nova" w:eastAsia="Proxima Nova" w:hAnsi="Proxima Nova"/>
          <w:b/>
          <w:bCs/>
          <w:sz w:val="22"/>
          <w:szCs w:val="22"/>
        </w:rPr>
        <w:t xml:space="preserve">Contacts</w:t>
      </w:r>
      <w:r>
        <w:rPr>
          <w:rFonts w:ascii="Proxima Nova" w:cs="Proxima Nova" w:eastAsia="Proxima Nova" w:hAnsi="Proxima Nova"/>
          <w:sz w:val="22"/>
          <w:szCs w:val="22"/>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700"/>
        <w:gridCol w:w="2860"/>
        <w:gridCol w:w="2400"/>
      </w:tblGrid>
      <w:tr>
        <w:trPr>
          <w:tblHeader/>
        </w:trPr>
        <w:tc>
          <w:tcPr>
            <w:tcW w:type="dxa" w:w="24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8"/>
                <w:szCs w:val="18"/>
              </w:rPr>
              <w:t xml:space="preserve">Last Name</w:t>
            </w:r>
          </w:p>
        </w:tc>
        <w:tc>
          <w:tcPr>
            <w:tcW w:type="dxa" w:w="17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8"/>
                <w:szCs w:val="18"/>
              </w:rPr>
              <w:t xml:space="preserve">First Name</w:t>
            </w:r>
          </w:p>
        </w:tc>
        <w:tc>
          <w:tcPr>
            <w:tcW w:type="dxa" w:w="286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8"/>
                <w:szCs w:val="18"/>
              </w:rPr>
              <w:t xml:space="preserve">Role</w:t>
            </w:r>
          </w:p>
        </w:tc>
        <w:tc>
          <w:tcPr>
            <w:tcW w:type="dxa" w:w="24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8"/>
                <w:szCs w:val="18"/>
              </w:rPr>
              <w:t xml:space="preserve">Email</w:t>
            </w:r>
          </w:p>
        </w:tc>
      </w:tr>
      <w:tr>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MALDONADO ALONSO</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Moises</w:t>
            </w:r>
          </w:p>
        </w:tc>
        <w:tc>
          <w:tcPr>
            <w:tcW w:type="dxa" w:w="28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AI and Data Science Lead, UNHCR Innovation</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hyperlink w:history="1" r:id="rId73tiiihnxbjjieddkiblh">
              <w:r>
                <w:rPr>
                  <w:rFonts w:ascii="Proxima Nova" w:cs="Proxima Nova" w:eastAsia="Proxima Nova" w:hAnsi="Proxima Nova"/>
                  <w:color w:val="1155cc"/>
                  <w:sz w:val="22"/>
                  <w:szCs w:val="22"/>
                  <w:u w:val="single"/>
                </w:rPr>
                <w:t xml:space="preserve">maldonam@unhcr.org</w:t>
              </w:r>
            </w:hyperlink>
          </w:p>
        </w:tc>
      </w:tr>
    </w:tbl>
    <w:p>
      <w:pPr>
        <w:spacing w:after="60"/>
      </w:pPr>
    </w:p>
    <w:p>
      <w:pPr>
        <w:spacing w:after="140" w:line="276"/>
      </w:pPr>
      <w:r>
        <w:rPr>
          <w:rFonts w:ascii="Proxima Nova" w:cs="Proxima Nova" w:eastAsia="Proxima Nova" w:hAnsi="Proxima Nova"/>
          <w:b/>
          <w:bCs/>
          <w:sz w:val="22"/>
          <w:szCs w:val="22"/>
        </w:rPr>
        <w:t xml:space="preserve">Stakeholders</w:t>
      </w:r>
      <w:r>
        <w:rPr>
          <w:rFonts w:ascii="Proxima Nova" w:cs="Proxima Nova" w:eastAsia="Proxima Nova" w:hAnsi="Proxima Nova"/>
          <w:sz w:val="22"/>
          <w:szCs w:val="22"/>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360"/>
        <w:gridCol w:w="3600"/>
      </w:tblGrid>
      <w:tr>
        <w:trPr>
          <w:tblHeader/>
        </w:trPr>
        <w:tc>
          <w:tcPr>
            <w:tcW w:type="dxa" w:w="24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8"/>
                <w:szCs w:val="18"/>
              </w:rPr>
              <w:t xml:space="preserve">Stakeholder Name</w:t>
            </w:r>
          </w:p>
        </w:tc>
        <w:tc>
          <w:tcPr>
            <w:tcW w:type="dxa" w:w="336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8"/>
                <w:szCs w:val="18"/>
              </w:rPr>
              <w:t xml:space="preserve">Role</w:t>
            </w:r>
          </w:p>
        </w:tc>
        <w:tc>
          <w:tcPr>
            <w:tcW w:type="dxa" w:w="36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8"/>
                <w:szCs w:val="18"/>
              </w:rPr>
              <w:t xml:space="preserve">Link (if applicable)</w:t>
            </w:r>
          </w:p>
        </w:tc>
      </w:tr>
      <w:tr>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UNHCR Innovation Service</w:t>
            </w:r>
          </w:p>
        </w:tc>
        <w:tc>
          <w:tcPr>
            <w:tcW w:type="dxa" w:w="33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Data innovation, challenge poser</w:t>
            </w:r>
          </w:p>
        </w:tc>
        <w:tc>
          <w:tcPr>
            <w:tcW w:type="dxa" w:w="36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hyperlink w:history="1" r:id="rIdlp3gns9rtl5ncinyrkxhd">
              <w:r>
                <w:rPr>
                  <w:rFonts w:ascii="Proxima Nova" w:cs="Proxima Nova" w:eastAsia="Proxima Nova" w:hAnsi="Proxima Nova"/>
                  <w:color w:val="1155cc"/>
                  <w:sz w:val="22"/>
                  <w:szCs w:val="22"/>
                  <w:u w:val="single"/>
                </w:rPr>
                <w:t xml:space="preserve">https://www.unhcr.org/innovation/data-innovation/</w:t>
              </w:r>
            </w:hyperlink>
          </w:p>
        </w:tc>
      </w:tr>
      <w:tr>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UNHCR</w:t>
            </w:r>
          </w:p>
        </w:tc>
        <w:tc>
          <w:tcPr>
            <w:tcW w:type="dxa" w:w="33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Institutional AI approach: transparent use of AI, always with human oversight</w:t>
            </w:r>
          </w:p>
        </w:tc>
        <w:tc>
          <w:tcPr>
            <w:tcW w:type="dxa" w:w="36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hyperlink w:history="1" r:id="rIdjhjwdbul42gxnifv45e8y">
              <w:r>
                <w:rPr>
                  <w:rFonts w:ascii="Proxima Nova" w:cs="Proxima Nova" w:eastAsia="Proxima Nova" w:hAnsi="Proxima Nova"/>
                  <w:color w:val="1155cc"/>
                  <w:sz w:val="22"/>
                  <w:szCs w:val="22"/>
                  <w:u w:val="single"/>
                </w:rPr>
                <w:t xml:space="preserve">https://www.unhcr.org/digitalstrategy/ai-approach/</w:t>
              </w:r>
            </w:hyperlink>
          </w:p>
        </w:tc>
      </w:tr>
      <w:tr>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UNHCR and WFP</w:t>
            </w:r>
          </w:p>
        </w:tc>
        <w:tc>
          <w:tcPr>
            <w:tcW w:type="dxa" w:w="33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Joint Principles on Targeting Assistance to Meet Food and Other Basic Needs</w:t>
            </w:r>
          </w:p>
        </w:tc>
        <w:tc>
          <w:tcPr>
            <w:tcW w:type="dxa" w:w="36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hyperlink w:history="1" r:id="rIdtajerai2wcfyg1c4x_w5q">
              <w:r>
                <w:rPr>
                  <w:rFonts w:ascii="Proxima Nova" w:cs="Proxima Nova" w:eastAsia="Proxima Nova" w:hAnsi="Proxima Nova"/>
                  <w:color w:val="1155cc"/>
                  <w:sz w:val="22"/>
                  <w:szCs w:val="22"/>
                  <w:u w:val="single"/>
                </w:rPr>
                <w:t xml:space="preserve">https://www.unhcr.org/media/unhcr-wfp-joint-principles-targeting-assistance-meet-food-and-other-basic-needs</w:t>
              </w:r>
            </w:hyperlink>
          </w:p>
        </w:tc>
      </w:tr>
      <w:tr>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UNHCR</w:t>
            </w:r>
          </w:p>
        </w:tc>
        <w:tc>
          <w:tcPr>
            <w:tcW w:type="dxa" w:w="33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Mapping of Targeting and Prioritization Approaches (how cash targeting is done)</w:t>
            </w:r>
          </w:p>
        </w:tc>
        <w:tc>
          <w:tcPr>
            <w:tcW w:type="dxa" w:w="36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hyperlink w:history="1" r:id="rIdupbv-vw2m81qaqaxgwd6r">
              <w:r>
                <w:rPr>
                  <w:rFonts w:ascii="Proxima Nova" w:cs="Proxima Nova" w:eastAsia="Proxima Nova" w:hAnsi="Proxima Nova"/>
                  <w:color w:val="1155cc"/>
                  <w:sz w:val="22"/>
                  <w:szCs w:val="22"/>
                  <w:u w:val="single"/>
                </w:rPr>
                <w:t xml:space="preserve">https://www.unhcr.org/handbooks/assessment/use/mapping-targeting-and-prioritization-approaches</w:t>
              </w:r>
            </w:hyperlink>
          </w:p>
        </w:tc>
      </w:tr>
      <w:tr>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UN System Chief Executives Board</w:t>
            </w:r>
          </w:p>
        </w:tc>
        <w:tc>
          <w:tcPr>
            <w:tcW w:type="dxa" w:w="33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Principles for the Ethical Use of AI in the UN System (the five principles rated in the study)</w:t>
            </w:r>
          </w:p>
        </w:tc>
        <w:tc>
          <w:tcPr>
            <w:tcW w:type="dxa" w:w="36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hyperlink w:history="1" r:id="rId9wwwb1dvdtl49bbpsfxf2">
              <w:r>
                <w:rPr>
                  <w:rFonts w:ascii="Proxima Nova" w:cs="Proxima Nova" w:eastAsia="Proxima Nova" w:hAnsi="Proxima Nova"/>
                  <w:color w:val="1155cc"/>
                  <w:sz w:val="22"/>
                  <w:szCs w:val="22"/>
                  <w:u w:val="single"/>
                </w:rPr>
                <w:t xml:space="preserve">https://unsceb.org/products/principles-ethical-use-artificial-intelligence-united-nations-system/</w:t>
              </w:r>
            </w:hyperlink>
          </w:p>
        </w:tc>
      </w:tr>
      <w:tr>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ICRC, EPFL, ETH Zurich</w:t>
            </w:r>
          </w:p>
        </w:tc>
        <w:tc>
          <w:tcPr>
            <w:tcW w:type="dxa" w:w="33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From Principles to Practice: AI in Humanitarian Organizations (AI Alignment Guide, 2026)</w:t>
            </w:r>
          </w:p>
        </w:tc>
        <w:tc>
          <w:tcPr>
            <w:tcW w:type="dxa" w:w="36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hyperlink w:history="1" r:id="rIdirkopni_dautxit9plmyu">
              <w:r>
                <w:rPr>
                  <w:rFonts w:ascii="Proxima Nova" w:cs="Proxima Nova" w:eastAsia="Proxima Nova" w:hAnsi="Proxima Nova"/>
                  <w:color w:val="1155cc"/>
                  <w:sz w:val="22"/>
                  <w:szCs w:val="22"/>
                  <w:u w:val="single"/>
                </w:rPr>
                <w:t xml:space="preserve">https://www.essentialtech.ch/reports</w:t>
              </w:r>
            </w:hyperlink>
          </w:p>
        </w:tc>
      </w:tr>
    </w:tbl>
    <w:p>
      <w:pPr>
        <w:pStyle w:val="Heading1"/>
      </w:pPr>
      <w:r>
        <w:rPr>
          <w:rFonts w:ascii="Proxima Nova" w:cs="Proxima Nova" w:eastAsia="Proxima Nova" w:hAnsi="Proxima Nova"/>
          <w:b/>
          <w:bCs/>
          <w:color w:val="0f4761"/>
          <w:sz w:val="40"/>
          <w:szCs w:val="40"/>
        </w:rPr>
        <w:t xml:space="preserve">Annexes:</w:t>
      </w:r>
    </w:p>
    <w:p>
      <w:pPr>
        <w:pStyle w:val="Heading2"/>
      </w:pPr>
      <w:r>
        <w:rPr>
          <w:rFonts w:ascii="Proxima Nova" w:cs="Proxima Nova" w:eastAsia="Proxima Nova" w:hAnsi="Proxima Nova"/>
          <w:b/>
          <w:bCs/>
          <w:color w:val="0f4761"/>
          <w:sz w:val="32"/>
          <w:szCs w:val="32"/>
        </w:rPr>
        <w:t xml:space="preserve">Annex I - Data dictionary of the synthetic Scorecard sample (S8)</w:t>
      </w:r>
    </w:p>
    <w:p>
      <w:pPr>
        <w:spacing w:after="140" w:line="276"/>
      </w:pPr>
      <w:r>
        <w:rPr>
          <w:rFonts w:ascii="Proxima Nova" w:cs="Proxima Nova" w:eastAsia="Proxima Nova" w:hAnsi="Proxima Nova"/>
          <w:sz w:val="22"/>
          <w:szCs w:val="22"/>
        </w:rPr>
        <w:t xml:space="preserve">One row per household. Factor scores take a small set of discrete values; a higher value marks a more vulnerable profile on that factor. Blank cells are "not applicable" unless stated otherwise.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060"/>
        <w:gridCol w:w="3300"/>
      </w:tblGrid>
      <w:tr>
        <w:trPr>
          <w:tblHeader/>
        </w:trPr>
        <w:tc>
          <w:tcPr>
            <w:tcW w:type="dxa" w:w="30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Column</w:t>
            </w:r>
          </w:p>
        </w:tc>
        <w:tc>
          <w:tcPr>
            <w:tcW w:type="dxa" w:w="306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Meaning</w:t>
            </w:r>
          </w:p>
        </w:tc>
        <w:tc>
          <w:tcPr>
            <w:tcW w:type="dxa" w:w="33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Values in the sample (count)</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month</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Month of the targeting interview (YYYY-MM)</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2023-06 to 2024-07</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Elegibilidad</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Eligibility status recorded by the operation (six values)</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Elegible (414); Elegible por Proceso Acelerado, accelerated process (13); Lista de Reserva, waiting list (451); No Elegible (932); No Elegible por Intenciones, stated intentions (52); No Elegible por Duplicidad, duplicate registration (38)</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Vulnerability_Category</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Vulnerability band derived from FinalScore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Vulnerabilidad Baja (775), Moderada (394), Elevada (612), Severa (119)</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Demographics.HH.Head</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Factor score: profile of the head of household</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1.0, 1.60, 2.07, 2.70</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Demographics.Language</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Factor score: language barrier</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1.0, 1.53, 2.05</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Demographics.Profiles</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Factor score: specific-needs profiles in the household</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1.0, 1.25, 2.58, 3.25</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Demographics.Documentation</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Factor score: documentation status</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1.0, 1.56, 2.13</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Needs_and_Coping.BasicNeeds</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Factor score: unmet basic needs (food, water, hygiene)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1.0, 1.78</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Needs_and_Coping.Housing</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Factor score: housing stability (stable to street or night-only shelter)</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1.0, 1.50, 2.12, 2.82</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Needs_and_Coping.Neg.mechanism</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Factor score: negative coping mechanisms</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1.0, 1.79, 2.58</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Needs_and_Coping.Dependency</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Factor score: dependency burden</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1.0, 1.04, 1.74, 2.54</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OficinaACNUR</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Anonymized code of the UNHCR field office that ran the interview</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sotap (1,278), fupal (190), foten (186), pcr_cdmx (127), futij (47), fomon (36), fusal (15); blank (21)</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NumIntegrantes</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Household size (number of members)</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1 to 11; 925 single-person households</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dependencyCategory</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Dependency ratio category</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low (1,148), average (610), complete (94), high (48)</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FemaleHeadedHousehold</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Sex of the head of household</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jefatura_femenina (484), jefatura_masculina (491); blank for single-person households (925)</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CuidadorSolo</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Sole carer of dependents</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si (373), no (602); blank for single-person households (925)</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HablaEspanol</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Whether at least one adult speaks Spanish</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espanol_uno_mas_adultos, one or more adults (1,622); espanol_ningun_adulto, no adult (278)</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Analfabeta_si</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Adult illiteracy in the household</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adultos_ninguno_analfabeta, none (1,664); adultos_uno_mas_analfabeta, one or more (236)</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ScoreCOMAR_PIL</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Administrative flag: status in the national asylum procedure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0 (771), -500 (155), 500 (14); blank where not applicable (960)</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ScoreIntenciones</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Administrative flag: stated intentions incompatible with the programme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0 (1,844), -500 (56)</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ScoreDuplicidad</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Administrative flag: duplicate registration</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0 (1,852), -500 (48)</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Demographics_Score</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Aggregated demographics score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0 to 43.8 (mean 8.1)</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NeedsandCoping_Score</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Aggregated needs and coping score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0 to 50.0 (mean 20.1)</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Vulnerability_Score</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Vulnerability index, a monotonic transform of FinalScore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2.0 to 4.34 (mean 2.80)</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FinalScore</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Scorecard total: Demographics_Score + NeedsandCoping_Score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0 to 81.1 (mean 27.7); the score Cashy reproduces with R² = 0.9998</w:t>
            </w:r>
          </w:p>
        </w:tc>
      </w:tr>
      <w:tr>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EligibilityTarget</w:t>
            </w:r>
          </w:p>
        </w:tc>
        <w:tc>
          <w:tcPr>
            <w:tcW w:type="dxa" w:w="3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Binary determination derived from Elegibilidad; the target Cashy predicts weakly (67.6% on real data)</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INCLUSION (427), EXCLUSION (1,473)</w:t>
            </w:r>
          </w:p>
        </w:tc>
      </w:tr>
    </w:tbl>
    <w:p>
      <w:pPr>
        <w:pStyle w:val="Heading2"/>
      </w:pPr>
      <w:r>
        <w:rPr>
          <w:rFonts w:ascii="Proxima Nova" w:cs="Proxima Nova" w:eastAsia="Proxima Nova" w:hAnsi="Proxima Nova"/>
          <w:b/>
          <w:bCs/>
          <w:color w:val="0f4761"/>
          <w:sz w:val="32"/>
          <w:szCs w:val="32"/>
        </w:rPr>
        <w:t xml:space="preserve">Annex II - The Cashy experiment: instruments and reference results</w:t>
      </w:r>
    </w:p>
    <w:p>
      <w:pPr>
        <w:pStyle w:val="Heading3"/>
      </w:pPr>
      <w:r>
        <w:rPr>
          <w:rFonts w:ascii="Proxima Nova" w:cs="Proxima Nova" w:eastAsia="Proxima Nova" w:hAnsi="Proxima Nova"/>
          <w:b/>
          <w:bCs/>
          <w:color w:val="434343"/>
          <w:sz w:val="26"/>
          <w:szCs w:val="26"/>
        </w:rPr>
        <w:t xml:space="preserve">2a) The Responsible-AI statements (shown unchanged on every review screen in the statements arm, between Reasoning and Answer)</w:t>
      </w:r>
    </w:p>
    <w:p>
      <w:pPr>
        <w:spacing w:after="140" w:line="276"/>
      </w:pPr>
      <w:r>
        <w:rPr>
          <w:rFonts w:ascii="Proxima Nova" w:cs="Proxima Nova" w:eastAsia="Proxima Nova" w:hAnsi="Proxima Nova"/>
          <w:b/>
          <w:bCs/>
          <w:sz w:val="22"/>
          <w:szCs w:val="22"/>
        </w:rPr>
        <w:t xml:space="preserve">Process-of-Thought. How was the general analysis done?</w:t>
      </w:r>
    </w:p>
    <w:p>
      <w:pPr>
        <w:pStyle w:val="ListParagraph"/>
        <w:numPr>
          <w:ilvl w:val="0"/>
          <w:numId w:val="3"/>
        </w:numPr>
        <w:spacing w:after="100" w:line="276"/>
      </w:pPr>
      <w:r>
        <w:rPr>
          <w:rFonts w:ascii="Proxima Nova" w:cs="Proxima Nova" w:eastAsia="Proxima Nova" w:hAnsi="Proxima Nova"/>
          <w:sz w:val="22"/>
          <w:szCs w:val="22"/>
        </w:rPr>
        <w:t xml:space="preserve">Data collection: the most important data were taken from each form: who they are, what documents they hold, their health and disabilities, where they live, whether they can cover their basic needs, how they get by (coping mechanisms), what the interviewer said, and the system's summary of their vulnerability.</w:t>
      </w:r>
    </w:p>
    <w:p>
      <w:pPr>
        <w:pStyle w:val="ListParagraph"/>
        <w:numPr>
          <w:ilvl w:val="0"/>
          <w:numId w:val="3"/>
        </w:numPr>
        <w:spacing w:after="100" w:line="276"/>
      </w:pPr>
      <w:r>
        <w:rPr>
          <w:rFonts w:ascii="Proxima Nova" w:cs="Proxima Nova" w:eastAsia="Proxima Nova" w:hAnsi="Proxima Nova"/>
          <w:sz w:val="22"/>
          <w:szCs w:val="22"/>
        </w:rPr>
        <w:t xml:space="preserve">Key vulnerability factors (implicit weighting): although no exact points were used, more weight was given to factors that indicate greater vulnerability: serious health problems or disability (especially if they prevent work or there is no support); caring for vulnerable dependents (infants, sick children); being the sole carer; living in a very unstable place (street, night-only shelter); being unable to cover essential needs (food, water, hygiene); using very risky ways to survive (such as begging); lacking valid documents; special risks (being LGBTIQ+, although the risk varies).</w:t>
      </w:r>
    </w:p>
    <w:p>
      <w:pPr>
        <w:pStyle w:val="ListParagraph"/>
        <w:numPr>
          <w:ilvl w:val="0"/>
          <w:numId w:val="3"/>
        </w:numPr>
        <w:spacing w:after="100" w:line="276"/>
      </w:pPr>
      <w:r>
        <w:rPr>
          <w:rFonts w:ascii="Proxima Nova" w:cs="Proxima Nova" w:eastAsia="Proxima Nova" w:hAnsi="Proxima Nova"/>
          <w:sz w:val="22"/>
          <w:szCs w:val="22"/>
        </w:rPr>
        <w:t xml:space="preserve">Comparison: each case was compared with the others on which vulnerability factors it had, how severe they were, and how they combined.</w:t>
      </w:r>
    </w:p>
    <w:p>
      <w:pPr>
        <w:pStyle w:val="ListParagraph"/>
        <w:numPr>
          <w:ilvl w:val="0"/>
          <w:numId w:val="3"/>
        </w:numPr>
        <w:spacing w:after="100" w:line="276"/>
      </w:pPr>
      <w:r>
        <w:rPr>
          <w:rFonts w:ascii="Proxima Nova" w:cs="Proxima Nova" w:eastAsia="Proxima Nova" w:hAnsi="Proxima Nova"/>
          <w:sz w:val="22"/>
          <w:szCs w:val="22"/>
        </w:rPr>
        <w:t xml:space="preserve">Verification: the information was checked for consistency and compared with the interviewer's opinion and the system's summary.</w:t>
      </w:r>
    </w:p>
    <w:p>
      <w:pPr>
        <w:pStyle w:val="ListParagraph"/>
        <w:numPr>
          <w:ilvl w:val="0"/>
          <w:numId w:val="3"/>
        </w:numPr>
        <w:spacing w:after="100" w:line="276"/>
      </w:pPr>
      <w:r>
        <w:rPr>
          <w:rFonts w:ascii="Proxima Nova" w:cs="Proxima Nova" w:eastAsia="Proxima Nova" w:hAnsi="Proxima Nova"/>
          <w:sz w:val="22"/>
          <w:szCs w:val="22"/>
        </w:rPr>
        <w:t xml:space="preserve">Recommendations: who to include or exclude was decided on how vulnerable each case was compared with the others, and the rule of selecting only one or two.</w:t>
      </w:r>
    </w:p>
    <w:p>
      <w:pPr>
        <w:spacing w:after="140" w:line="276"/>
      </w:pPr>
      <w:r>
        <w:rPr>
          <w:rFonts w:ascii="Proxima Nova" w:cs="Proxima Nova" w:eastAsia="Proxima Nova" w:hAnsi="Proxima Nova"/>
          <w:b/>
          <w:bCs/>
          <w:sz w:val="22"/>
          <w:szCs w:val="22"/>
        </w:rPr>
        <w:t xml:space="preserve">Process-Guarantees.</w:t>
      </w:r>
    </w:p>
    <w:p>
      <w:pPr>
        <w:pStyle w:val="ListParagraph"/>
        <w:numPr>
          <w:ilvl w:val="0"/>
          <w:numId w:val="2"/>
        </w:numPr>
        <w:spacing w:after="100" w:line="276"/>
      </w:pPr>
      <w:r>
        <w:rPr>
          <w:rFonts w:ascii="Proxima Nova" w:cs="Proxima Nova" w:eastAsia="Proxima Nova" w:hAnsi="Proxima Nova"/>
          <w:b/>
          <w:bCs/>
          <w:sz w:val="22"/>
          <w:szCs w:val="22"/>
        </w:rPr>
        <w:t xml:space="preserve">Transparency: </w:t>
      </w:r>
      <w:r>
        <w:rPr>
          <w:rFonts w:ascii="Proxima Nova" w:cs="Proxima Nova" w:eastAsia="Proxima Nova" w:hAnsi="Proxima Nova"/>
          <w:sz w:val="22"/>
          <w:szCs w:val="22"/>
        </w:rPr>
        <w:t xml:space="preserve">clear information from standard forms is used; the factors and the reasoning are explained; objective information is distinguished from the interviewer's opinion.</w:t>
      </w:r>
    </w:p>
    <w:p>
      <w:pPr>
        <w:pStyle w:val="ListParagraph"/>
        <w:numPr>
          <w:ilvl w:val="0"/>
          <w:numId w:val="2"/>
        </w:numPr>
        <w:spacing w:after="100" w:line="276"/>
      </w:pPr>
      <w:r>
        <w:rPr>
          <w:rFonts w:ascii="Proxima Nova" w:cs="Proxima Nova" w:eastAsia="Proxima Nova" w:hAnsi="Proxima Nova"/>
          <w:b/>
          <w:bCs/>
          <w:sz w:val="22"/>
          <w:szCs w:val="22"/>
        </w:rPr>
        <w:t xml:space="preserve">Accountability: </w:t>
      </w:r>
      <w:r>
        <w:rPr>
          <w:rFonts w:ascii="Proxima Nova" w:cs="Proxima Nova" w:eastAsia="Proxima Nova" w:hAnsi="Proxima Nova"/>
          <w:sz w:val="22"/>
          <w:szCs w:val="22"/>
        </w:rPr>
        <w:t xml:space="preserve">official documents are used and this analysis creates a record; the tool is standardized for consistency; "A person reviews and takes the final decision, not the AI".</w:t>
      </w:r>
    </w:p>
    <w:p>
      <w:pPr>
        <w:pStyle w:val="ListParagraph"/>
        <w:numPr>
          <w:ilvl w:val="0"/>
          <w:numId w:val="2"/>
        </w:numPr>
        <w:spacing w:after="100" w:line="276"/>
      </w:pPr>
      <w:r>
        <w:rPr>
          <w:rFonts w:ascii="Proxima Nova" w:cs="Proxima Nova" w:eastAsia="Proxima Nova" w:hAnsi="Proxima Nova"/>
          <w:b/>
          <w:bCs/>
          <w:sz w:val="22"/>
          <w:szCs w:val="22"/>
        </w:rPr>
        <w:t xml:space="preserve">Responsibility: </w:t>
      </w:r>
      <w:r>
        <w:rPr>
          <w:rFonts w:ascii="Proxima Nova" w:cs="Proxima Nova" w:eastAsia="Proxima Nova" w:hAnsi="Proxima Nova"/>
          <w:sz w:val="22"/>
          <w:szCs w:val="22"/>
        </w:rPr>
        <w:t xml:space="preserve">the AI only helps analyze the information in the forms according to the rules given; the responsible person or committee decides in the end, applying the programme's criteria; the analysis uses no external information.</w:t>
      </w:r>
    </w:p>
    <w:p>
      <w:pPr>
        <w:spacing w:after="140" w:line="276"/>
      </w:pPr>
      <w:r>
        <w:rPr>
          <w:rFonts w:ascii="Proxima Nova" w:cs="Proxima Nova" w:eastAsia="Proxima Nova" w:hAnsi="Proxima Nova"/>
          <w:sz w:val="22"/>
          <w:szCs w:val="22"/>
        </w:rPr>
        <w:t xml:space="preserve">Neither panel contained anything about the household under review. Process-of-Thought described the language model's reading of the case, not the scoring engine that produced the score and recommendation. The two panels were always shown together, so their separate effects are unknown.</w:t>
      </w:r>
    </w:p>
    <w:p>
      <w:pPr>
        <w:pStyle w:val="Heading3"/>
      </w:pPr>
      <w:r>
        <w:rPr>
          <w:rFonts w:ascii="Proxima Nova" w:cs="Proxima Nova" w:eastAsia="Proxima Nova" w:hAnsi="Proxima Nova"/>
          <w:b/>
          <w:bCs/>
          <w:color w:val="434343"/>
          <w:sz w:val="26"/>
          <w:szCs w:val="26"/>
        </w:rPr>
        <w:t xml:space="preserve">2b) The review screen and the items answered after each assessment</w:t>
      </w:r>
    </w:p>
    <w:p>
      <w:pPr>
        <w:spacing w:after="140" w:line="276"/>
      </w:pPr>
      <w:r>
        <w:rPr>
          <w:rFonts w:ascii="Proxima Nova" w:cs="Proxima Nova" w:eastAsia="Proxima Nova" w:hAnsi="Proxima Nova"/>
          <w:sz w:val="22"/>
          <w:szCs w:val="22"/>
        </w:rPr>
        <w:t xml:space="preserve">Order on screen: registration record; Reasoning (a narrative of about 400 words in seven fixed parts: summary; possible contradictions or biases in the record; possible inconsistencies; reasons for inclusion; reasons for exclusion; relative vulnerability rating; final recommendation); statements (statements arm only); Answer (score, category, recommendation); then the items below. The Scorecard's determination was withheld until after submission, when a comparison screen presented it and the caseworker accepted or overrode it in turn. The system description shown before the first task read: "Cashy-AI is a machine learning targeting method trained on 19,000+ Scorecard interviews conducted by [agency] staff. It is designed to support [agency] staff in the identification and selection of individuals for cash assistance during emergencies."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5000"/>
        <w:gridCol w:w="3460"/>
      </w:tblGrid>
      <w:tr>
        <w:trPr>
          <w:tblHeader/>
        </w:trPr>
        <w:tc>
          <w:tcPr>
            <w:tcW w:type="dxa" w:w="9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8"/>
                <w:szCs w:val="18"/>
              </w:rPr>
              <w:t xml:space="preserve">Item</w:t>
            </w:r>
          </w:p>
        </w:tc>
        <w:tc>
          <w:tcPr>
            <w:tcW w:type="dxa" w:w="50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8"/>
                <w:szCs w:val="18"/>
              </w:rPr>
              <w:t xml:space="preserve">Wording</w:t>
            </w:r>
          </w:p>
        </w:tc>
        <w:tc>
          <w:tcPr>
            <w:tcW w:type="dxa" w:w="346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8"/>
                <w:szCs w:val="18"/>
              </w:rPr>
              <w:t xml:space="preserve">Response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EC1</w:t>
            </w:r>
          </w:p>
        </w:tc>
        <w:tc>
          <w:tcPr>
            <w:tcW w:type="dxa" w:w="5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Rate the effectiveness of Cashy-AI for identifying and selecting the "right" individuals for the assistance</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1 to 5</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EC2</w:t>
            </w:r>
          </w:p>
        </w:tc>
        <w:tc>
          <w:tcPr>
            <w:tcW w:type="dxa" w:w="5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Do you agree or disagree with Cashy-AI's final recommendation for this case?</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Agree / Disagree</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EC3</w:t>
            </w:r>
          </w:p>
        </w:tc>
        <w:tc>
          <w:tcPr>
            <w:tcW w:type="dxa" w:w="5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Why do you disagree? Select all that apply (if Disagree)</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Inaccurate or incorrect information; Irrelevant or incomplete information; Not appropriate or unexpected result; Unfair or unjust decision; Disrespects staff autonomy to change the decision; Lack of transparency or explainability; Unclear roles between staff and tool</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EC4</w:t>
            </w:r>
          </w:p>
        </w:tc>
        <w:tc>
          <w:tcPr>
            <w:tcW w:type="dxa" w:w="5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Do you want to override Cashy-AI's final recommendation? (if Disagree)</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Yes / No</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EC5</w:t>
            </w:r>
          </w:p>
        </w:tc>
        <w:tc>
          <w:tcPr>
            <w:tcW w:type="dxa" w:w="5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Does Cashy-AI provide a correct and accurate recommendation? (correctness)</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Completely inaccurate (1) to Completely accurate (5)</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EC6</w:t>
            </w:r>
          </w:p>
        </w:tc>
        <w:tc>
          <w:tcPr>
            <w:tcW w:type="dxa" w:w="5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Does Cashy-AI provide content that is relevant to help you make an informed decision? (relevance)</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Strongly disagree (1) to Strongly agree (5)</w:t>
            </w:r>
          </w:p>
        </w:tc>
      </w:tr>
      <w:tr>
        <w:tc>
          <w:tcPr>
            <w:tcW w:type="dxa" w:w="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EC7</w:t>
            </w:r>
          </w:p>
        </w:tc>
        <w:tc>
          <w:tcPr>
            <w:tcW w:type="dxa" w:w="5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Does Cashy-AI provide a recommendation that is appropriate to the vulnerability profile of the case? (appropriateness)</w:t>
            </w:r>
          </w:p>
        </w:tc>
        <w:tc>
          <w:tcPr>
            <w:tcW w:type="dxa" w:w="34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8"/>
                <w:szCs w:val="18"/>
              </w:rPr>
              <w:t xml:space="preserve">Very inappropriate (1) to Very appropriate (5)</w:t>
            </w:r>
          </w:p>
        </w:tc>
      </w:tr>
    </w:tbl>
    <w:p>
      <w:pPr>
        <w:spacing w:after="140" w:before="120"/>
      </w:pPr>
      <w:r>
        <w:rPr>
          <w:rFonts w:ascii="Proxima Nova" w:cs="Proxima Nova" w:eastAsia="Proxima Nova" w:hAnsi="Proxima Nova"/>
          <w:sz w:val="22"/>
          <w:szCs w:val="22"/>
        </w:rPr>
        <w:t xml:space="preserve">Over-reliance is defined by EC4. The reasoning-answer gap is EC6 minus EC5 on the same assessment; a positive gap means the reasoning was rated above the answer.</w:t>
      </w:r>
    </w:p>
    <w:p>
      <w:pPr>
        <w:pStyle w:val="Heading3"/>
      </w:pPr>
      <w:r>
        <w:rPr>
          <w:rFonts w:ascii="Proxima Nova" w:cs="Proxima Nova" w:eastAsia="Proxima Nova" w:hAnsi="Proxima Nova"/>
          <w:b/>
          <w:bCs/>
          <w:color w:val="434343"/>
          <w:sz w:val="26"/>
          <w:szCs w:val="26"/>
        </w:rPr>
        <w:t xml:space="preserve">2c) Post-session principles questionnaire (one item per principle, five-point labelled scale scored 1 to 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000"/>
        <w:gridCol w:w="2400"/>
        <w:gridCol w:w="2260"/>
      </w:tblGrid>
      <w:tr>
        <w:trPr>
          <w:tblHeader/>
        </w:trPr>
        <w:tc>
          <w:tcPr>
            <w:tcW w:type="dxa" w:w="17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Principle</w:t>
            </w:r>
          </w:p>
        </w:tc>
        <w:tc>
          <w:tcPr>
            <w:tcW w:type="dxa" w:w="30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Definition shown</w:t>
            </w:r>
          </w:p>
        </w:tc>
        <w:tc>
          <w:tcPr>
            <w:tcW w:type="dxa" w:w="24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Item</w:t>
            </w:r>
          </w:p>
        </w:tc>
        <w:tc>
          <w:tcPr>
            <w:tcW w:type="dxa" w:w="226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Labels 1 to 5</w:t>
            </w:r>
          </w:p>
        </w:tc>
      </w:tr>
      <w:t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Do no harm</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Prevent causing or exacerbating harm, respect human rights and adhere to UN principles.</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Where does Cashy-AI fall on the following harm scale?</w:t>
            </w:r>
          </w:p>
        </w:tc>
        <w:tc>
          <w:tcPr>
            <w:tcW w:type="dxa" w:w="2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Actively harmful; Lacks safeguards; Basic safety; Minimizes harm; Proactively protective</w:t>
            </w:r>
          </w:p>
        </w:tc>
      </w:tr>
      <w:t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Fairness and non-discrimination</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Ensure an equal and just distribution of benefits, risks and costs, and prevent bias, discrimination and stigmatization; consider whether results are equitable across demographic groups.</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Based on your analysis, where does Cashy-AI fall on the following fairness scale?</w:t>
            </w:r>
          </w:p>
        </w:tc>
        <w:tc>
          <w:tcPr>
            <w:tcW w:type="dxa" w:w="2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Discriminatory; Potentially biased; Mixed fairness; Largely fair; Highly fair</w:t>
            </w:r>
          </w:p>
        </w:tc>
      </w:tr>
      <w:t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Human autonomy and oversight</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Uphold human autonomy through human-centric design and oversight, maintaining human control and override capabilities; consider the control staff retain and whether they can intervene, override or customize the system.</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Evaluate Cashy-AI's impact on human autonomy using the scale below.</w:t>
            </w:r>
          </w:p>
        </w:tc>
        <w:tc>
          <w:tcPr>
            <w:tcW w:type="dxa" w:w="2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Undermines staff autonomy; Limits staff autonomy; Basic staff autonomy; Respects staff autonomy; Enhances staff autonomy</w:t>
            </w:r>
          </w:p>
        </w:tc>
      </w:tr>
      <w:t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Transparency and explainability</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Be transparent and explainable, ensuring users can understand and trace recommendations.</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How transparent and explainable is Cashy-AI?</w:t>
            </w:r>
          </w:p>
        </w:tc>
        <w:tc>
          <w:tcPr>
            <w:tcW w:type="dxa" w:w="2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Opaque; Limited transparency; Partial transparency; Largely transparent; Fully transparent</w:t>
            </w:r>
          </w:p>
        </w:tc>
      </w:tr>
      <w:t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Responsibility and accountability</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Guarantee full accountability via oversight, audit or due-diligence mechanisms, and clearly define human responsibility.</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Based on the oversight and the clarity of defined human responsibilities, where does Cashy-AI fall on the following accountability scale?</w:t>
            </w:r>
          </w:p>
        </w:tc>
        <w:tc>
          <w:tcPr>
            <w:tcW w:type="dxa" w:w="2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Unaccountable; Weak accountability; Basic accountability; Good accountability; Strong accountability</w:t>
            </w:r>
          </w:p>
        </w:tc>
      </w:tr>
    </w:tbl>
    <w:p>
      <w:pPr>
        <w:spacing w:after="140" w:before="120"/>
      </w:pPr>
      <w:r>
        <w:rPr>
          <w:rFonts w:ascii="Proxima Nova" w:cs="Proxima Nova" w:eastAsia="Proxima Nova" w:hAnsi="Proxima Nova"/>
          <w:sz w:val="22"/>
          <w:szCs w:val="22"/>
        </w:rPr>
        <w:t xml:space="preserve">Followed by a required open comment ("Please send your general comments"). Forms were matched to assessments through the participant's self-selected name.</w:t>
      </w:r>
    </w:p>
    <w:p>
      <w:pPr>
        <w:pStyle w:val="Heading3"/>
      </w:pPr>
      <w:r>
        <w:rPr>
          <w:rFonts w:ascii="Proxima Nova" w:cs="Proxima Nova" w:eastAsia="Proxima Nova" w:hAnsi="Proxima Nova"/>
          <w:b/>
          <w:bCs/>
          <w:color w:val="434343"/>
          <w:sz w:val="26"/>
          <w:szCs w:val="26"/>
        </w:rPr>
        <w:t xml:space="preserve">2d) The five households and the reference results</w:t>
      </w:r>
    </w:p>
    <w:p>
      <w:pPr>
        <w:spacing w:after="140" w:line="276"/>
      </w:pPr>
      <w:r>
        <w:rPr>
          <w:rFonts w:ascii="Proxima Nova" w:cs="Proxima Nova" w:eastAsia="Proxima Nova" w:hAnsi="Proxima Nova"/>
          <w:sz w:val="22"/>
          <w:szCs w:val="22"/>
        </w:rPr>
        <w:t xml:space="preserve">Five real, already-decided households were selected to vary on vulnerability and on agreement with the Scorecard. Two are concordant (C4, C5), three discordant (C1, C2, C3). C3 was chosen as a hard case: the Scorecard categorized the household as highly vulnerable but excluded it on criteria unrelated to need, so its reference label contradicts itself, and it was excluded from the confirmatory set (C1 and C2).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3260"/>
        <w:gridCol w:w="2100"/>
        <w:gridCol w:w="1650"/>
        <w:gridCol w:w="1650"/>
      </w:tblGrid>
      <w:tr>
        <w:trPr>
          <w:tblHeader/>
        </w:trPr>
        <w:tc>
          <w:tcPr>
            <w:tcW w:type="dxa" w:w="7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Case</w:t>
            </w:r>
          </w:p>
        </w:tc>
        <w:tc>
          <w:tcPr>
            <w:tcW w:type="dxa" w:w="326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Household profile</w:t>
            </w:r>
          </w:p>
        </w:tc>
        <w:tc>
          <w:tcPr>
            <w:tcW w:type="dxa" w:w="21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Relation (Cashy minus Scorecard)</w:t>
            </w:r>
          </w:p>
        </w:tc>
        <w:tc>
          <w:tcPr>
            <w:tcW w:type="dxa" w:w="165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Cashy score / recommendation</w:t>
            </w:r>
          </w:p>
        </w:tc>
        <w:tc>
          <w:tcPr>
            <w:tcW w:type="dxa" w:w="165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7"/>
                <w:szCs w:val="17"/>
              </w:rPr>
              <w:t xml:space="preserve">Scorecard score / determination</w:t>
            </w:r>
          </w:p>
        </w:tc>
      </w:tr>
      <w:tr>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C1</w:t>
            </w:r>
          </w:p>
        </w:tc>
        <w:tc>
          <w:tcPr>
            <w:tcW w:type="dxa" w:w="3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Single adult, collective shelter, several basic needs unmet, one negative coping mechanism</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Discordant, +29.38, Exclusion to Inclusion</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43.09 / Inclusion</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13.71 / Exclusion</w:t>
            </w:r>
          </w:p>
        </w:tc>
      </w:tr>
      <w:tr>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C2</w:t>
            </w:r>
          </w:p>
        </w:tc>
        <w:tc>
          <w:tcPr>
            <w:tcW w:type="dxa" w:w="3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Sole carer with infant, both with serious medical conditions, stable housing, incomplete documentation</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Discordant, -9.88, Inclusion to Exclusion</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25.52 / Exclusion</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35.40 / Inclusion</w:t>
            </w:r>
          </w:p>
        </w:tc>
      </w:tr>
      <w:tr>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C3</w:t>
            </w:r>
          </w:p>
        </w:tc>
        <w:tc>
          <w:tcPr>
            <w:tcW w:type="dxa" w:w="3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Two-parent household, young child with serious medical condition, night-only shelter, high-risk coping</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Discordant (contested), +14.47, Exclusion to Inclusion</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55.54 / Inclusion</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41.07 / Exclusion</w:t>
            </w:r>
          </w:p>
        </w:tc>
      </w:tr>
      <w:tr>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C4</w:t>
            </w:r>
          </w:p>
        </w:tc>
        <w:tc>
          <w:tcPr>
            <w:tcW w:type="dxa" w:w="3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Single adult, collective shelter, all basic needs met, no health condition</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Concordant, -8.59, no change</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15.79 / Exclusion</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24.38 / Exclusion</w:t>
            </w:r>
          </w:p>
        </w:tc>
      </w:tr>
      <w:tr>
        <w:tc>
          <w:tcPr>
            <w:tcW w:type="dxa" w:w="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C5</w:t>
            </w:r>
          </w:p>
        </w:tc>
        <w:tc>
          <w:tcPr>
            <w:tcW w:type="dxa" w:w="3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Single adult, disability and medical condition preventing work, food/water/hygiene needs unmet</w:t>
            </w:r>
          </w:p>
        </w:tc>
        <w:tc>
          <w:tcPr>
            <w:tcW w:type="dxa" w:w="2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Concordant, 0.00, no change</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65.57 / Inclusion</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7"/>
                <w:szCs w:val="17"/>
              </w:rPr>
              <w:t xml:space="preserve">65.57 / Inclusion</w:t>
            </w:r>
          </w:p>
        </w:tc>
      </w:tr>
    </w:tbl>
    <w:p>
      <w:pPr>
        <w:spacing w:after="140" w:before="120"/>
      </w:pPr>
      <w:r>
        <w:rPr>
          <w:rFonts w:ascii="Proxima Nova" w:cs="Proxima Nova" w:eastAsia="Proxima Nova" w:hAnsi="Proxima Nova"/>
          <w:sz w:val="22"/>
          <w:szCs w:val="22"/>
        </w:rPr>
        <w:t xml:space="preserve">Appropriate-reliance decomposition by arm (percentages with Wilson 95% CIs; confirmatory columns use the 62 assessments of C1 and C2, concordant columns the 62 of C4 and C5). These are the reference values an override audit toolkit should be able to reproduce from the released assessment-level 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60"/>
        <w:gridCol w:w="1500"/>
        <w:gridCol w:w="1400"/>
        <w:gridCol w:w="1500"/>
        <w:gridCol w:w="1400"/>
        <w:gridCol w:w="1500"/>
      </w:tblGrid>
      <w:tr>
        <w:trPr>
          <w:tblHeader/>
        </w:trPr>
        <w:tc>
          <w:tcPr>
            <w:tcW w:type="dxa" w:w="206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6"/>
                <w:szCs w:val="16"/>
              </w:rPr>
              <w:t xml:space="preserve">Condition</w:t>
            </w:r>
          </w:p>
        </w:tc>
        <w:tc>
          <w:tcPr>
            <w:tcW w:type="dxa" w:w="15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6"/>
                <w:szCs w:val="16"/>
              </w:rPr>
              <w:t xml:space="preserve">Correct override</w:t>
            </w:r>
          </w:p>
        </w:tc>
        <w:tc>
          <w:tcPr>
            <w:tcW w:type="dxa" w:w="14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6"/>
                <w:szCs w:val="16"/>
              </w:rPr>
              <w:t xml:space="preserve">Over-reliance</w:t>
            </w:r>
          </w:p>
        </w:tc>
        <w:tc>
          <w:tcPr>
            <w:tcW w:type="dxa" w:w="15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6"/>
                <w:szCs w:val="16"/>
              </w:rPr>
              <w:t xml:space="preserve">Correct acceptance</w:t>
            </w:r>
          </w:p>
        </w:tc>
        <w:tc>
          <w:tcPr>
            <w:tcW w:type="dxa" w:w="14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6"/>
                <w:szCs w:val="16"/>
              </w:rPr>
              <w:t xml:space="preserve">Under-reliance</w:t>
            </w:r>
          </w:p>
        </w:tc>
        <w:tc>
          <w:tcPr>
            <w:tcW w:type="dxa" w:w="1500"/>
            <w:tcBorders>
              <w:top w:val="single" w:color="BFBFBF" w:sz="4"/>
              <w:left w:val="single" w:color="BFBFBF" w:sz="4"/>
              <w:bottom w:val="single" w:color="BFBFBF" w:sz="4"/>
              <w:right w:val="single" w:color="BFBFBF" w:sz="4"/>
            </w:tcBorders>
            <w:shd w:fill="DCE6F0" w:color="auto" w:val="clear"/>
            <w:tcMar>
              <w:top w:type="dxa" w:w="60"/>
              <w:left w:type="dxa" w:w="90"/>
              <w:bottom w:type="dxa" w:w="60"/>
              <w:right w:type="dxa" w:w="90"/>
            </w:tcMar>
          </w:tcPr>
          <w:p>
            <w:pPr>
              <w:spacing w:after="40"/>
            </w:pPr>
            <w:r>
              <w:rPr>
                <w:rFonts w:ascii="Proxima Nova" w:cs="Proxima Nova" w:eastAsia="Proxima Nova" w:hAnsi="Proxima Nova"/>
                <w:b/>
                <w:bCs/>
                <w:sz w:val="16"/>
                <w:szCs w:val="16"/>
              </w:rPr>
              <w:t xml:space="preserve">End-to-end accuracy</w:t>
            </w:r>
          </w:p>
        </w:tc>
      </w:tr>
      <w:tr>
        <w:tc>
          <w:tcPr>
            <w:tcW w:type="dxa" w:w="2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Plain AI (13 caseworkers)</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25/26 = 96.2% [81.1, 99.3]</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1/26 = 3.8% [0.7, 18.9]</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26/26 = 100% [87.1, 100]</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0/26 = 0.0% [0.0, 12.9]</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54/65 = 83.1% [72.2, 90.3]</w:t>
            </w:r>
          </w:p>
        </w:tc>
      </w:tr>
      <w:tr>
        <w:tc>
          <w:tcPr>
            <w:tcW w:type="dxa" w:w="2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Responsible-AI statements (18 caseworkers)</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24/36 = 66.7% [50.3, 79.8]</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12/36 = 33.3% [20.2, 49.7]</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36/36 = 100% [90.4, 100]</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0/36 = 0.0% [0.0, 9.6]</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Proxima Nova" w:cs="Proxima Nova" w:eastAsia="Proxima Nova" w:hAnsi="Proxima Nova"/>
                <w:b w:val="false"/>
                <w:bCs w:val="false"/>
                <w:sz w:val="16"/>
                <w:szCs w:val="16"/>
              </w:rPr>
              <w:t xml:space="preserve">62/90 = 68.9% [58.7, 77.5]</w:t>
            </w:r>
          </w:p>
        </w:tc>
      </w:tr>
    </w:tbl>
    <w:p>
      <w:pPr>
        <w:spacing w:after="140" w:before="120"/>
      </w:pPr>
      <w:r>
        <w:rPr>
          <w:rFonts w:ascii="Proxima Nova" w:cs="Proxima Nova" w:eastAsia="Proxima Nova" w:hAnsi="Proxima Nova"/>
          <w:sz w:val="22"/>
          <w:szCs w:val="22"/>
        </w:rPr>
        <w:t xml:space="preserve">Participant-level risk difference in correct override: 29.5 percentage points (95% CI 11.9 to 47.0; Mann-Whitney p = .007; GEE OR = 0.080 [0.010, 0.639]). Ratings of identical advice: top-box correctness rose from 7.7% to 27.8% (Holm p = .005) while mean correctness (3.26 against 3.52) and appropriateness did not differ; the reasoning-answer gap on the confirmatory households was +0.81 (plain) against +0.64 (statements), p = .65. Principle ratings by arm (28 linked participants): accountability 3.00 against 3.61 (p = .047, uncorrected), transparency 3.30 against 3.94 (p = .078), fairness 3.20 against 3.28; none survives Holm correction. Minimum detectable effect at 80% power: d = 1.06 for the confirmatory contrast, d = 1.15 for the post-session instrument.</w:t>
      </w:r>
    </w:p>
    <w:p>
      <w:pPr>
        <w:pStyle w:val="Heading2"/>
      </w:pPr>
      <w:r>
        <w:rPr>
          <w:rFonts w:ascii="Proxima Nova" w:cs="Proxima Nova" w:eastAsia="Proxima Nova" w:hAnsi="Proxima Nova"/>
          <w:b/>
          <w:bCs/>
          <w:color w:val="0f4761"/>
          <w:sz w:val="32"/>
          <w:szCs w:val="32"/>
        </w:rPr>
        <w:t xml:space="preserve">Annex III - Potential data science, design and research questions</w:t>
      </w:r>
    </w:p>
    <w:p>
      <w:pPr>
        <w:pStyle w:val="ListParagraph"/>
        <w:numPr>
          <w:ilvl w:val="0"/>
          <w:numId w:val="2"/>
        </w:numPr>
        <w:spacing w:after="100" w:line="276"/>
      </w:pPr>
      <w:r>
        <w:rPr>
          <w:rFonts w:ascii="Proxima Nova" w:cs="Proxima Nova" w:eastAsia="Proxima Nova" w:hAnsi="Proxima Nova"/>
          <w:i/>
          <w:iCs/>
          <w:sz w:val="22"/>
          <w:szCs w:val="22"/>
        </w:rPr>
        <w:t xml:space="preserve">Which on-screen cues change what a caseworker does with a flawed recommendation, and which change only what they say about it? Can the Process-of-Thought and Process-Guarantees effects be separated?</w:t>
      </w:r>
    </w:p>
    <w:p>
      <w:pPr>
        <w:pStyle w:val="ListParagraph"/>
        <w:numPr>
          <w:ilvl w:val="0"/>
          <w:numId w:val="2"/>
        </w:numPr>
        <w:spacing w:after="100" w:line="276"/>
      </w:pPr>
      <w:r>
        <w:rPr>
          <w:rFonts w:ascii="Proxima Nova" w:cs="Proxima Nova" w:eastAsia="Proxima Nova" w:hAnsi="Proxima Nova"/>
          <w:i/>
          <w:iCs/>
          <w:sz w:val="22"/>
          <w:szCs w:val="22"/>
        </w:rPr>
        <w:t xml:space="preserve">Is the reasoning-answer rating gap a usable individual-level flag for at-risk assessments, or only a group-level signal? What would make it sensitive enough to log in production?</w:t>
      </w:r>
    </w:p>
    <w:p>
      <w:pPr>
        <w:pStyle w:val="ListParagraph"/>
        <w:numPr>
          <w:ilvl w:val="0"/>
          <w:numId w:val="2"/>
        </w:numPr>
        <w:spacing w:after="100" w:line="276"/>
      </w:pPr>
      <w:r>
        <w:rPr>
          <w:rFonts w:ascii="Proxima Nova" w:cs="Proxima Nova" w:eastAsia="Proxima Nova" w:hAnsi="Proxima Nova"/>
          <w:i/>
          <w:iCs/>
          <w:sz w:val="22"/>
          <w:szCs w:val="22"/>
        </w:rPr>
        <w:t xml:space="preserve">What is the smallest override audit (cases and caseworkers) that detects a 15-point fall in correct override at 80% power, and how should cases be chosen so that error direction (wrongful inclusion, wrongful exclusion) is not confounded with case?</w:t>
      </w:r>
    </w:p>
    <w:p>
      <w:pPr>
        <w:pStyle w:val="ListParagraph"/>
        <w:numPr>
          <w:ilvl w:val="0"/>
          <w:numId w:val="2"/>
        </w:numPr>
        <w:spacing w:after="100" w:line="276"/>
      </w:pPr>
      <w:r>
        <w:rPr>
          <w:rFonts w:ascii="Proxima Nova" w:cs="Proxima Nova" w:eastAsia="Proxima Nova" w:hAnsi="Proxima Nova"/>
          <w:i/>
          <w:iCs/>
          <w:sz w:val="22"/>
          <w:szCs w:val="22"/>
        </w:rPr>
        <w:t xml:space="preserve">How should override be recorded and monitored in production so that a falling rate is visible to a named owner, without turning override itself into a performance target?</w:t>
      </w:r>
    </w:p>
    <w:p>
      <w:pPr>
        <w:pStyle w:val="ListParagraph"/>
        <w:numPr>
          <w:ilvl w:val="0"/>
          <w:numId w:val="2"/>
        </w:numPr>
        <w:spacing w:after="100" w:line="276"/>
      </w:pPr>
      <w:r>
        <w:rPr>
          <w:rFonts w:ascii="Proxima Nova" w:cs="Proxima Nova" w:eastAsia="Proxima Nova" w:hAnsi="Proxima Nova"/>
          <w:i/>
          <w:iCs/>
          <w:sz w:val="22"/>
          <w:szCs w:val="22"/>
        </w:rPr>
        <w:t xml:space="preserve">Can a model built on the synthetic sample expose, per case, which parts of the recommendation the features support (score, category) and which they do not (eligibility), and does showing that distinction change reliance?</w:t>
      </w:r>
    </w:p>
    <w:p>
      <w:pPr>
        <w:pStyle w:val="ListParagraph"/>
        <w:numPr>
          <w:ilvl w:val="0"/>
          <w:numId w:val="2"/>
        </w:numPr>
        <w:spacing w:after="100" w:line="276"/>
      </w:pPr>
      <w:r>
        <w:rPr>
          <w:rFonts w:ascii="Proxima Nova" w:cs="Proxima Nova" w:eastAsia="Proxima Nova" w:hAnsi="Proxima Nova"/>
          <w:i/>
          <w:iCs/>
          <w:sz w:val="22"/>
          <w:szCs w:val="22"/>
        </w:rPr>
        <w:t xml:space="preserve">How can principle ratings, model cards and checklists be combined with behavioral evidence so that a self-assessment cannot rate a system well while its users override it less?</w:t>
      </w:r>
    </w:p>
    <w:p>
      <w:pPr>
        <w:pStyle w:val="ListParagraph"/>
        <w:numPr>
          <w:ilvl w:val="0"/>
          <w:numId w:val="2"/>
        </w:numPr>
        <w:spacing w:after="100" w:line="276"/>
      </w:pPr>
      <w:r>
        <w:rPr>
          <w:rFonts w:ascii="Proxima Nova" w:cs="Proxima Nova" w:eastAsia="Proxima Nova" w:hAnsi="Proxima Nova"/>
          <w:i/>
          <w:iCs/>
          <w:sz w:val="22"/>
          <w:szCs w:val="22"/>
        </w:rPr>
        <w:t xml:space="preserve">What does an evaluation of the workflow look like from the side of the household that never sees the decision, and how could displaced people participate in setting the override standard?</w:t>
      </w:r>
    </w:p>
    <w:p>
      <w:pPr>
        <w:pStyle w:val="Heading2"/>
      </w:pPr>
      <w:r>
        <w:rPr>
          <w:rFonts w:ascii="Proxima Nova" w:cs="Proxima Nova" w:eastAsia="Proxima Nova" w:hAnsi="Proxima Nova"/>
          <w:b/>
          <w:bCs/>
          <w:color w:val="0f4761"/>
          <w:sz w:val="32"/>
          <w:szCs w:val="32"/>
        </w:rPr>
        <w:t xml:space="preserve">Annex IV - Additional resources and ethical considerations</w:t>
      </w:r>
    </w:p>
    <w:p>
      <w:pPr>
        <w:pStyle w:val="Heading3"/>
      </w:pPr>
      <w:r>
        <w:rPr>
          <w:rFonts w:ascii="Proxima Nova" w:cs="Proxima Nova" w:eastAsia="Proxima Nova" w:hAnsi="Proxima Nova"/>
          <w:b/>
          <w:bCs/>
          <w:color w:val="434343"/>
          <w:sz w:val="26"/>
          <w:szCs w:val="26"/>
        </w:rPr>
        <w:t xml:space="preserve">Humanitarian targeting and institutional AI principles</w:t>
      </w:r>
    </w:p>
    <w:p>
      <w:pPr>
        <w:pStyle w:val="ListParagraph"/>
        <w:numPr>
          <w:ilvl w:val="0"/>
          <w:numId w:val="2"/>
        </w:numPr>
        <w:spacing w:after="100" w:line="276"/>
      </w:pPr>
      <w:hyperlink w:history="1" r:id="rIdjvnssztovjtpjswlznac7">
        <w:r>
          <w:rPr>
            <w:rFonts w:ascii="Proxima Nova" w:cs="Proxima Nova" w:eastAsia="Proxima Nova" w:hAnsi="Proxima Nova"/>
            <w:color w:val="1155cc"/>
            <w:sz w:val="22"/>
            <w:szCs w:val="22"/>
            <w:u w:val="single"/>
          </w:rPr>
          <w:t xml:space="preserve">UNHCR AI Approach (2025)</w:t>
        </w:r>
      </w:hyperlink>
    </w:p>
    <w:p>
      <w:pPr>
        <w:pStyle w:val="ListParagraph"/>
        <w:numPr>
          <w:ilvl w:val="0"/>
          <w:numId w:val="2"/>
        </w:numPr>
        <w:spacing w:after="100" w:line="276"/>
      </w:pPr>
      <w:hyperlink w:history="1" r:id="rIdb-2b7iduh-jdtfdorda3k">
        <w:r>
          <w:rPr>
            <w:rFonts w:ascii="Proxima Nova" w:cs="Proxima Nova" w:eastAsia="Proxima Nova" w:hAnsi="Proxima Nova"/>
            <w:color w:val="1155cc"/>
            <w:sz w:val="22"/>
            <w:szCs w:val="22"/>
            <w:u w:val="single"/>
          </w:rPr>
          <w:t xml:space="preserve">UN-CEB. Principles for the Ethical Use of Artificial Intelligence in the United Nations System (2022)</w:t>
        </w:r>
      </w:hyperlink>
    </w:p>
    <w:p>
      <w:pPr>
        <w:pStyle w:val="ListParagraph"/>
        <w:numPr>
          <w:ilvl w:val="0"/>
          <w:numId w:val="2"/>
        </w:numPr>
        <w:spacing w:after="100" w:line="276"/>
      </w:pPr>
      <w:hyperlink w:history="1" r:id="rIdya8cuktqbuk-7qrclv2rj">
        <w:r>
          <w:rPr>
            <w:rFonts w:ascii="Proxima Nova" w:cs="Proxima Nova" w:eastAsia="Proxima Nova" w:hAnsi="Proxima Nova"/>
            <w:color w:val="1155cc"/>
            <w:sz w:val="22"/>
            <w:szCs w:val="22"/>
            <w:u w:val="single"/>
          </w:rPr>
          <w:t xml:space="preserve">UNHCR and WFP. Joint Principles on Targeting Assistance to Meet Food and Other Basic Needs (2020)</w:t>
        </w:r>
      </w:hyperlink>
    </w:p>
    <w:p>
      <w:pPr>
        <w:pStyle w:val="ListParagraph"/>
        <w:numPr>
          <w:ilvl w:val="0"/>
          <w:numId w:val="2"/>
        </w:numPr>
        <w:spacing w:after="100" w:line="276"/>
      </w:pPr>
      <w:hyperlink w:history="1" r:id="rIdtprnveeq9ittoe2y3p7nt">
        <w:r>
          <w:rPr>
            <w:rFonts w:ascii="Proxima Nova" w:cs="Proxima Nova" w:eastAsia="Proxima Nova" w:hAnsi="Proxima Nova"/>
            <w:color w:val="1155cc"/>
            <w:sz w:val="22"/>
            <w:szCs w:val="22"/>
            <w:u w:val="single"/>
          </w:rPr>
          <w:t xml:space="preserve">UNHCR. Mapping of Targeting and Prioritization Approaches (2023)</w:t>
        </w:r>
      </w:hyperlink>
    </w:p>
    <w:p>
      <w:pPr>
        <w:pStyle w:val="ListParagraph"/>
        <w:numPr>
          <w:ilvl w:val="0"/>
          <w:numId w:val="2"/>
        </w:numPr>
        <w:spacing w:after="100" w:line="276"/>
      </w:pPr>
      <w:hyperlink w:history="1" r:id="rIdl64yglonxp9te57qbvvct">
        <w:r>
          <w:rPr>
            <w:rFonts w:ascii="Proxima Nova" w:cs="Proxima Nova" w:eastAsia="Proxima Nova" w:hAnsi="Proxima Nova"/>
            <w:color w:val="1155cc"/>
            <w:sz w:val="22"/>
            <w:szCs w:val="22"/>
            <w:u w:val="single"/>
          </w:rPr>
          <w:t xml:space="preserve">ICRC and EPFL. From Principles to Practice: AI in Humanitarian Organizations, AI Alignment Guide (2026)</w:t>
        </w:r>
      </w:hyperlink>
    </w:p>
    <w:p>
      <w:pPr>
        <w:pStyle w:val="ListParagraph"/>
        <w:numPr>
          <w:ilvl w:val="0"/>
          <w:numId w:val="2"/>
        </w:numPr>
        <w:spacing w:after="100" w:line="276"/>
      </w:pPr>
      <w:hyperlink w:history="1" r:id="rIdsvna26tgyi6c-pwszxvqj">
        <w:r>
          <w:rPr>
            <w:rFonts w:ascii="Proxima Nova" w:cs="Proxima Nova" w:eastAsia="Proxima Nova" w:hAnsi="Proxima Nova"/>
            <w:color w:val="1155cc"/>
            <w:sz w:val="22"/>
            <w:szCs w:val="22"/>
            <w:u w:val="single"/>
          </w:rPr>
          <w:t xml:space="preserve">Aiken et al. Machine learning and phone data can improve targeting of humanitarian aid. Nature (2022)</w:t>
        </w:r>
      </w:hyperlink>
    </w:p>
    <w:p>
      <w:pPr>
        <w:pStyle w:val="ListParagraph"/>
        <w:numPr>
          <w:ilvl w:val="0"/>
          <w:numId w:val="2"/>
        </w:numPr>
        <w:spacing w:after="100" w:line="276"/>
      </w:pPr>
      <w:hyperlink w:history="1" r:id="rIdlb1be5yonrncl43dluz4j">
        <w:r>
          <w:rPr>
            <w:rFonts w:ascii="Proxima Nova" w:cs="Proxima Nova" w:eastAsia="Proxima Nova" w:hAnsi="Proxima Nova"/>
            <w:color w:val="1155cc"/>
            <w:sz w:val="22"/>
            <w:szCs w:val="22"/>
            <w:u w:val="single"/>
          </w:rPr>
          <w:t xml:space="preserve">Coppi, Moreno Jimenez and Kyriazi. Explicability of humanitarian AI: a matter of principles. Journal of International Humanitarian Action (2021)</w:t>
        </w:r>
      </w:hyperlink>
    </w:p>
    <w:p>
      <w:pPr>
        <w:pStyle w:val="ListParagraph"/>
        <w:numPr>
          <w:ilvl w:val="0"/>
          <w:numId w:val="2"/>
        </w:numPr>
        <w:spacing w:after="100" w:line="276"/>
      </w:pPr>
      <w:hyperlink w:history="1" r:id="rIdteysfiehyees7xjmho5db">
        <w:r>
          <w:rPr>
            <w:rFonts w:ascii="Proxima Nova" w:cs="Proxima Nova" w:eastAsia="Proxima Nova" w:hAnsi="Proxima Nova"/>
            <w:color w:val="1155cc"/>
            <w:sz w:val="22"/>
            <w:szCs w:val="22"/>
            <w:u w:val="single"/>
          </w:rPr>
          <w:t xml:space="preserve">Scantamburlo, Baumann and Heitz. On prediction-modelers and decision-makers: why fairness requires more than a fair prediction model. AI &amp; Society (2024)</w:t>
        </w:r>
      </w:hyperlink>
    </w:p>
    <w:p>
      <w:pPr>
        <w:pStyle w:val="Heading3"/>
      </w:pPr>
      <w:r>
        <w:rPr>
          <w:rFonts w:ascii="Proxima Nova" w:cs="Proxima Nova" w:eastAsia="Proxima Nova" w:hAnsi="Proxima Nova"/>
          <w:b/>
          <w:bCs/>
          <w:color w:val="434343"/>
          <w:sz w:val="26"/>
          <w:szCs w:val="26"/>
        </w:rPr>
        <w:t xml:space="preserve">Appropriate reliance, over-reliance and oversight</w:t>
      </w:r>
    </w:p>
    <w:p>
      <w:pPr>
        <w:pStyle w:val="ListParagraph"/>
        <w:numPr>
          <w:ilvl w:val="0"/>
          <w:numId w:val="2"/>
        </w:numPr>
        <w:spacing w:after="100" w:line="276"/>
      </w:pPr>
      <w:hyperlink w:history="1" r:id="rIdsll7riursfrtaa6gcghsx">
        <w:r>
          <w:rPr>
            <w:rFonts w:ascii="Proxima Nova" w:cs="Proxima Nova" w:eastAsia="Proxima Nova" w:hAnsi="Proxima Nova"/>
            <w:color w:val="1155cc"/>
            <w:sz w:val="22"/>
            <w:szCs w:val="22"/>
            <w:u w:val="single"/>
          </w:rPr>
          <w:t xml:space="preserve">Eckhardt et al. A Survey of AI Reliance. ACM Computing Surveys (2026)</w:t>
        </w:r>
      </w:hyperlink>
    </w:p>
    <w:p>
      <w:pPr>
        <w:pStyle w:val="ListParagraph"/>
        <w:numPr>
          <w:ilvl w:val="0"/>
          <w:numId w:val="2"/>
        </w:numPr>
        <w:spacing w:after="100" w:line="276"/>
      </w:pPr>
      <w:hyperlink w:history="1" r:id="rIdwjqf_hpievdxtylvgg_un">
        <w:r>
          <w:rPr>
            <w:rFonts w:ascii="Proxima Nova" w:cs="Proxima Nova" w:eastAsia="Proxima Nova" w:hAnsi="Proxima Nova"/>
            <w:color w:val="1155cc"/>
            <w:sz w:val="22"/>
            <w:szCs w:val="22"/>
            <w:u w:val="single"/>
          </w:rPr>
          <w:t xml:space="preserve">Passi, Dhanorkar and Vorvoreanu. Addressing Overreliance on AI. Handbook of Human-Centered AI (2025)</w:t>
        </w:r>
      </w:hyperlink>
    </w:p>
    <w:p>
      <w:pPr>
        <w:pStyle w:val="ListParagraph"/>
        <w:numPr>
          <w:ilvl w:val="0"/>
          <w:numId w:val="2"/>
        </w:numPr>
        <w:spacing w:after="100" w:line="276"/>
      </w:pPr>
      <w:hyperlink w:history="1" r:id="rIdf_pfsgeccymkfz1h1ote4">
        <w:r>
          <w:rPr>
            <w:rFonts w:ascii="Proxima Nova" w:cs="Proxima Nova" w:eastAsia="Proxima Nova" w:hAnsi="Proxima Nova"/>
            <w:color w:val="1155cc"/>
            <w:sz w:val="22"/>
            <w:szCs w:val="22"/>
            <w:u w:val="single"/>
          </w:rPr>
          <w:t xml:space="preserve">Guo et al. A Decision Theoretic Framework for Measuring AI Reliance. FAccT (2024)</w:t>
        </w:r>
      </w:hyperlink>
    </w:p>
    <w:p>
      <w:pPr>
        <w:pStyle w:val="ListParagraph"/>
        <w:numPr>
          <w:ilvl w:val="0"/>
          <w:numId w:val="2"/>
        </w:numPr>
        <w:spacing w:after="100" w:line="276"/>
      </w:pPr>
      <w:hyperlink w:history="1" r:id="rId4sh3qbzogexzkxkuygyg3">
        <w:r>
          <w:rPr>
            <w:rFonts w:ascii="Proxima Nova" w:cs="Proxima Nova" w:eastAsia="Proxima Nova" w:hAnsi="Proxima Nova"/>
            <w:color w:val="1155cc"/>
            <w:sz w:val="22"/>
            <w:szCs w:val="22"/>
            <w:u w:val="single"/>
          </w:rPr>
          <w:t xml:space="preserve">Schemmer et al. Appropriate Reliance on AI Advice: Conceptualization and the Effect of Explanations. IUI (2023)</w:t>
        </w:r>
      </w:hyperlink>
    </w:p>
    <w:p>
      <w:pPr>
        <w:pStyle w:val="ListParagraph"/>
        <w:numPr>
          <w:ilvl w:val="0"/>
          <w:numId w:val="2"/>
        </w:numPr>
        <w:spacing w:after="100" w:line="276"/>
      </w:pPr>
      <w:hyperlink w:history="1" r:id="rIdvqt23dax2n-vitjgophxc">
        <w:r>
          <w:rPr>
            <w:rFonts w:ascii="Proxima Nova" w:cs="Proxima Nova" w:eastAsia="Proxima Nova" w:hAnsi="Proxima Nova"/>
            <w:color w:val="1155cc"/>
            <w:sz w:val="22"/>
            <w:szCs w:val="22"/>
            <w:u w:val="single"/>
          </w:rPr>
          <w:t xml:space="preserve">Lu and Yin. Human Reliance on Machine Learning Models When Performance Feedback is Limited. CHI (2021)</w:t>
        </w:r>
      </w:hyperlink>
    </w:p>
    <w:p>
      <w:pPr>
        <w:pStyle w:val="ListParagraph"/>
        <w:numPr>
          <w:ilvl w:val="0"/>
          <w:numId w:val="2"/>
        </w:numPr>
        <w:spacing w:after="100" w:line="276"/>
      </w:pPr>
      <w:hyperlink w:history="1" r:id="rIdjd8ueivznrksyjhd_shbu">
        <w:r>
          <w:rPr>
            <w:rFonts w:ascii="Proxima Nova" w:cs="Proxima Nova" w:eastAsia="Proxima Nova" w:hAnsi="Proxima Nova"/>
            <w:color w:val="1155cc"/>
            <w:sz w:val="22"/>
            <w:szCs w:val="22"/>
            <w:u w:val="single"/>
          </w:rPr>
          <w:t xml:space="preserve">Buçinca, Malaya and Gajos. To Trust or to Think: Cognitive Forcing Functions Can Reduce Overreliance on AI. CSCW (2021)</w:t>
        </w:r>
      </w:hyperlink>
    </w:p>
    <w:p>
      <w:pPr>
        <w:pStyle w:val="ListParagraph"/>
        <w:numPr>
          <w:ilvl w:val="0"/>
          <w:numId w:val="2"/>
        </w:numPr>
        <w:spacing w:after="100" w:line="276"/>
      </w:pPr>
      <w:hyperlink w:history="1" r:id="rId7b-yxbproecjy21abjelj">
        <w:r>
          <w:rPr>
            <w:rFonts w:ascii="Proxima Nova" w:cs="Proxima Nova" w:eastAsia="Proxima Nova" w:hAnsi="Proxima Nova"/>
            <w:color w:val="1155cc"/>
            <w:sz w:val="22"/>
            <w:szCs w:val="22"/>
            <w:u w:val="single"/>
          </w:rPr>
          <w:t xml:space="preserve">Vasconcelos et al. Explanations Can Reduce Overreliance on AI Systems During Decision-Making. CSCW (2023)</w:t>
        </w:r>
      </w:hyperlink>
    </w:p>
    <w:p>
      <w:pPr>
        <w:pStyle w:val="ListParagraph"/>
        <w:numPr>
          <w:ilvl w:val="0"/>
          <w:numId w:val="2"/>
        </w:numPr>
        <w:spacing w:after="100" w:line="276"/>
      </w:pPr>
      <w:hyperlink w:history="1" r:id="rIde0j0pendv06tyh_bn4kvj">
        <w:r>
          <w:rPr>
            <w:rFonts w:ascii="Proxima Nova" w:cs="Proxima Nova" w:eastAsia="Proxima Nova" w:hAnsi="Proxima Nova"/>
            <w:color w:val="1155cc"/>
            <w:sz w:val="22"/>
            <w:szCs w:val="22"/>
            <w:u w:val="single"/>
          </w:rPr>
          <w:t xml:space="preserve">Fok and Weld. In search of verifiability: Explanations rarely enable complementary performance in AI-advised decision making. AI Magazine (2024)</w:t>
        </w:r>
      </w:hyperlink>
    </w:p>
    <w:p>
      <w:pPr>
        <w:pStyle w:val="ListParagraph"/>
        <w:numPr>
          <w:ilvl w:val="0"/>
          <w:numId w:val="2"/>
        </w:numPr>
        <w:spacing w:after="100" w:line="276"/>
      </w:pPr>
      <w:hyperlink w:history="1" r:id="rIdepveggri45cowd_abpvdp">
        <w:r>
          <w:rPr>
            <w:rFonts w:ascii="Proxima Nova" w:cs="Proxima Nova" w:eastAsia="Proxima Nova" w:hAnsi="Proxima Nova"/>
            <w:color w:val="1155cc"/>
            <w:sz w:val="22"/>
            <w:szCs w:val="22"/>
            <w:u w:val="single"/>
          </w:rPr>
          <w:t xml:space="preserve">Eiband et al. The Impact of Placebic Explanations on Trust in Intelligent Systems. CHI EA (2019)</w:t>
        </w:r>
      </w:hyperlink>
    </w:p>
    <w:p>
      <w:pPr>
        <w:pStyle w:val="ListParagraph"/>
        <w:numPr>
          <w:ilvl w:val="0"/>
          <w:numId w:val="2"/>
        </w:numPr>
        <w:spacing w:after="100" w:line="276"/>
      </w:pPr>
      <w:hyperlink w:history="1" r:id="rIdyo1b8hojhwzorbtjkj8zl">
        <w:r>
          <w:rPr>
            <w:rFonts w:ascii="Proxima Nova" w:cs="Proxima Nova" w:eastAsia="Proxima Nova" w:hAnsi="Proxima Nova"/>
            <w:color w:val="1155cc"/>
            <w:sz w:val="22"/>
            <w:szCs w:val="22"/>
            <w:u w:val="single"/>
          </w:rPr>
          <w:t xml:space="preserve">Gaube et al. Do as AI say: susceptibility in deployment of clinical decision-aids. npj Digital Medicine (2021)</w:t>
        </w:r>
      </w:hyperlink>
    </w:p>
    <w:p>
      <w:pPr>
        <w:pStyle w:val="ListParagraph"/>
        <w:numPr>
          <w:ilvl w:val="0"/>
          <w:numId w:val="2"/>
        </w:numPr>
        <w:spacing w:after="100" w:line="276"/>
      </w:pPr>
      <w:hyperlink w:history="1" r:id="rIdqdqc5hpjkivdrbhe70puq">
        <w:r>
          <w:rPr>
            <w:rFonts w:ascii="Proxima Nova" w:cs="Proxima Nova" w:eastAsia="Proxima Nova" w:hAnsi="Proxima Nova"/>
            <w:color w:val="1155cc"/>
            <w:sz w:val="22"/>
            <w:szCs w:val="22"/>
            <w:u w:val="single"/>
          </w:rPr>
          <w:t xml:space="preserve">Green. The flaws of policies requiring human oversight of government algorithms. Computer Law &amp; Security Review (2022)</w:t>
        </w:r>
      </w:hyperlink>
    </w:p>
    <w:p>
      <w:pPr>
        <w:pStyle w:val="ListParagraph"/>
        <w:numPr>
          <w:ilvl w:val="0"/>
          <w:numId w:val="2"/>
        </w:numPr>
        <w:spacing w:after="100" w:line="276"/>
      </w:pPr>
      <w:hyperlink w:history="1" r:id="rIdrz4y78nnfvcecid4fshk3">
        <w:r>
          <w:rPr>
            <w:rFonts w:ascii="Proxima Nova" w:cs="Proxima Nova" w:eastAsia="Proxima Nova" w:hAnsi="Proxima Nova"/>
            <w:color w:val="1155cc"/>
            <w:sz w:val="22"/>
            <w:szCs w:val="22"/>
            <w:u w:val="single"/>
          </w:rPr>
          <w:t xml:space="preserve">Mittelstadt. Principles alone cannot guarantee ethical AI. Nature Machine Intelligence (2019)</w:t>
        </w:r>
      </w:hyperlink>
    </w:p>
    <w:p>
      <w:pPr>
        <w:pStyle w:val="ListParagraph"/>
        <w:numPr>
          <w:ilvl w:val="0"/>
          <w:numId w:val="2"/>
        </w:numPr>
        <w:spacing w:after="100" w:line="276"/>
      </w:pPr>
      <w:hyperlink w:history="1" r:id="rIdcoxi95od87glwshfrprja">
        <w:r>
          <w:rPr>
            <w:rFonts w:ascii="Proxima Nova" w:cs="Proxima Nova" w:eastAsia="Proxima Nova" w:hAnsi="Proxima Nova"/>
            <w:color w:val="1155cc"/>
            <w:sz w:val="22"/>
            <w:szCs w:val="22"/>
            <w:u w:val="single"/>
          </w:rPr>
          <w:t xml:space="preserve">Raji et al. Closing the AI accountability gap: defining an end-to-end framework for internal algorithmic auditing. FAT* (2020)</w:t>
        </w:r>
      </w:hyperlink>
    </w:p>
    <w:p>
      <w:pPr>
        <w:pStyle w:val="ListParagraph"/>
        <w:numPr>
          <w:ilvl w:val="0"/>
          <w:numId w:val="2"/>
        </w:numPr>
        <w:spacing w:after="100" w:line="276"/>
      </w:pPr>
      <w:hyperlink w:history="1" r:id="rId7mmdcruj40xzh1l0i_k_f">
        <w:r>
          <w:rPr>
            <w:rFonts w:ascii="Proxima Nova" w:cs="Proxima Nova" w:eastAsia="Proxima Nova" w:hAnsi="Proxima Nova"/>
            <w:color w:val="1155cc"/>
            <w:sz w:val="22"/>
            <w:szCs w:val="22"/>
            <w:u w:val="single"/>
          </w:rPr>
          <w:t xml:space="preserve">Mitchell et al. Model Cards for Model Reporting. FAT* (2019)</w:t>
        </w:r>
      </w:hyperlink>
    </w:p>
    <w:p>
      <w:pPr>
        <w:pStyle w:val="Heading3"/>
      </w:pPr>
      <w:r>
        <w:rPr>
          <w:rFonts w:ascii="Proxima Nova" w:cs="Proxima Nova" w:eastAsia="Proxima Nova" w:hAnsi="Proxima Nova"/>
          <w:b/>
          <w:bCs/>
          <w:color w:val="434343"/>
          <w:sz w:val="26"/>
          <w:szCs w:val="26"/>
        </w:rPr>
        <w:t xml:space="preserve">Ethical and human-rights considerations</w:t>
      </w:r>
    </w:p>
    <w:p>
      <w:pPr>
        <w:spacing w:after="140" w:line="276"/>
      </w:pPr>
      <w:r>
        <w:rPr>
          <w:rFonts w:ascii="Proxima Nova" w:cs="Proxima Nova" w:eastAsia="Proxima Nova" w:hAnsi="Proxima Nova"/>
          <w:sz w:val="22"/>
          <w:szCs w:val="22"/>
        </w:rPr>
        <w:t xml:space="preserve">We recommend reading the following before working with assistance-targeting data and designing AI-assisted decisions over vulnerable populations. Three points apply to every submission: the households whose data shaped the corpus never see the decisions made about them and cannot contest them, so any design must say where a wrong recommendation would be caught; the caseworkers are a small professional population and must not be identifiable from any analysis; and a reference determination is the institution's standard, not the truth about a household's need.</w:t>
      </w:r>
    </w:p>
    <w:p>
      <w:pPr>
        <w:pStyle w:val="ListParagraph"/>
        <w:numPr>
          <w:ilvl w:val="0"/>
          <w:numId w:val="2"/>
        </w:numPr>
        <w:spacing w:after="100" w:line="276"/>
      </w:pPr>
      <w:hyperlink w:history="1" r:id="rIdgxbsrzviolqqdhu4frlwj">
        <w:r>
          <w:rPr>
            <w:rFonts w:ascii="Proxima Nova" w:cs="Proxima Nova" w:eastAsia="Proxima Nova" w:hAnsi="Proxima Nova"/>
            <w:color w:val="1155cc"/>
            <w:sz w:val="22"/>
            <w:szCs w:val="22"/>
            <w:u w:val="single"/>
          </w:rPr>
          <w:t xml:space="preserve">Generative AI for Humanitarians (2023)</w:t>
        </w:r>
      </w:hyperlink>
    </w:p>
    <w:p>
      <w:pPr>
        <w:pStyle w:val="ListParagraph"/>
        <w:numPr>
          <w:ilvl w:val="0"/>
          <w:numId w:val="2"/>
        </w:numPr>
        <w:spacing w:after="100" w:line="276"/>
      </w:pPr>
      <w:hyperlink w:history="1" r:id="rId5-mhr9td5gvos-wg0fuup">
        <w:r>
          <w:rPr>
            <w:rFonts w:ascii="Proxima Nova" w:cs="Proxima Nova" w:eastAsia="Proxima Nova" w:hAnsi="Proxima Nova"/>
            <w:color w:val="1155cc"/>
            <w:sz w:val="22"/>
            <w:szCs w:val="22"/>
            <w:u w:val="single"/>
          </w:rPr>
          <w:t xml:space="preserve">Pizzi, Romanoff and Engelhardt. AI for humanitarian action: Human rights and ethics. International Review of the Red Cross (2020)</w:t>
        </w:r>
      </w:hyperlink>
    </w:p>
    <w:p>
      <w:pPr>
        <w:pStyle w:val="ListParagraph"/>
        <w:numPr>
          <w:ilvl w:val="0"/>
          <w:numId w:val="2"/>
        </w:numPr>
        <w:spacing w:after="100" w:line="276"/>
      </w:pPr>
      <w:hyperlink w:history="1" r:id="rIdkdpyenvpjpn6zvjwv4prc">
        <w:r>
          <w:rPr>
            <w:rFonts w:ascii="Proxima Nova" w:cs="Proxima Nova" w:eastAsia="Proxima Nova" w:hAnsi="Proxima Nova"/>
            <w:color w:val="1155cc"/>
            <w:sz w:val="22"/>
            <w:szCs w:val="22"/>
            <w:u w:val="single"/>
          </w:rPr>
          <w:t xml:space="preserve">Beduschi. Harnessing the potential of artificial intelligence for humanitarian action: Opportunities and risks. International Review of the Red Cross (2022)</w:t>
        </w:r>
      </w:hyperlink>
    </w:p>
    <w:p>
      <w:pPr>
        <w:pStyle w:val="ListParagraph"/>
        <w:numPr>
          <w:ilvl w:val="0"/>
          <w:numId w:val="2"/>
        </w:numPr>
        <w:spacing w:after="100" w:line="276"/>
      </w:pPr>
      <w:hyperlink w:history="1" r:id="rIdopmlb7_4eqhzqccwuc_y7">
        <w:r>
          <w:rPr>
            <w:rFonts w:ascii="Proxima Nova" w:cs="Proxima Nova" w:eastAsia="Proxima Nova" w:hAnsi="Proxima Nova"/>
            <w:color w:val="1155cc"/>
            <w:sz w:val="22"/>
            <w:szCs w:val="22"/>
            <w:u w:val="single"/>
          </w:rPr>
          <w:t xml:space="preserve">Natural language processing for humanitarian action: Opportunities, challenges, and the path toward humanitarian NLP. Frontiers in Big Data (2023)</w:t>
        </w:r>
      </w:hyperlink>
    </w:p>
    <w:p>
      <w:pPr>
        <w:pStyle w:val="ListParagraph"/>
        <w:numPr>
          <w:ilvl w:val="0"/>
          <w:numId w:val="2"/>
        </w:numPr>
        <w:spacing w:after="100" w:line="276"/>
      </w:pPr>
      <w:hyperlink w:history="1" r:id="rIdim00nhx04zymnvutgggl4">
        <w:r>
          <w:rPr>
            <w:rFonts w:ascii="Proxima Nova" w:cs="Proxima Nova" w:eastAsia="Proxima Nova" w:hAnsi="Proxima Nova"/>
            <w:color w:val="1155cc"/>
            <w:sz w:val="22"/>
            <w:szCs w:val="22"/>
            <w:u w:val="single"/>
          </w:rPr>
          <w:t xml:space="preserve">Mikalef et al. Thinking responsibly about responsible AI and 'the dark side' of AI. European Journal of Information Systems (2022)</w:t>
        </w:r>
      </w:hyperlink>
    </w:p>
    <w:p>
      <w:pPr>
        <w:pStyle w:val="ListParagraph"/>
        <w:numPr>
          <w:ilvl w:val="0"/>
          <w:numId w:val="2"/>
        </w:numPr>
        <w:spacing w:after="100" w:line="276"/>
      </w:pPr>
      <w:hyperlink w:history="1" r:id="rIdrgvbuxxcfamnjuxowf2yq">
        <w:r>
          <w:rPr>
            <w:rFonts w:ascii="Proxima Nova" w:cs="Proxima Nova" w:eastAsia="Proxima Nova" w:hAnsi="Proxima Nova"/>
            <w:color w:val="1155cc"/>
            <w:sz w:val="22"/>
            <w:szCs w:val="22"/>
            <w:u w:val="single"/>
          </w:rPr>
          <w:t xml:space="preserve">Moore et al. Concerning the Responsible Use of AI in the U.S. Criminal Justice System. Communications of the ACM (2025)</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Proxima Nova" w:cs="Proxima Nova" w:eastAsia="Proxima Nova" w:hAnsi="Proxima Nova"/>
        <w:color w:val="666666"/>
        <w:sz w:val="16"/>
        <w:szCs w:val="16"/>
      </w:rPr>
      <w:t xml:space="preserve">UNHCR Innovation | Data Instructions Challenge: oversight of AI-supported targeting | </w:t>
    </w:r>
    <w:r>
      <w:rPr>
        <w:rFonts w:ascii="Proxima Nova" w:cs="Proxima Nova" w:eastAsia="Proxima Nova" w:hAnsi="Proxima Nova"/>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4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roxima Nova" w:cs="Proxima Nova" w:eastAsia="Proxima Nova" w:hAnsi="Proxima Nov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400"/>
      <w:outlineLvl w:val="0"/>
    </w:pPr>
    <w:rPr>
      <w:rFonts w:ascii="Proxima Nova" w:cs="Proxima Nova" w:eastAsia="Proxima Nova" w:hAnsi="Proxima Nova"/>
      <w:b/>
      <w:bCs/>
      <w:color w:val="0f4761"/>
      <w:sz w:val="40"/>
      <w:szCs w:val="40"/>
    </w:rPr>
  </w:style>
  <w:style w:type="paragraph" w:styleId="Heading2">
    <w:name w:val="Heading 2"/>
    <w:basedOn w:val="Normal"/>
    <w:next w:val="Normal"/>
    <w:qFormat/>
    <w:pPr>
      <w:keepNext/>
      <w:spacing w:after="120" w:before="360"/>
      <w:outlineLvl w:val="1"/>
    </w:pPr>
    <w:rPr>
      <w:rFonts w:ascii="Proxima Nova" w:cs="Proxima Nova" w:eastAsia="Proxima Nova" w:hAnsi="Proxima Nova"/>
      <w:b/>
      <w:bCs/>
      <w:color w:val="0f4761"/>
      <w:sz w:val="32"/>
      <w:szCs w:val="32"/>
    </w:rPr>
  </w:style>
  <w:style w:type="paragraph" w:styleId="Heading3">
    <w:name w:val="Heading 3"/>
    <w:basedOn w:val="Normal"/>
    <w:next w:val="Normal"/>
    <w:qFormat/>
    <w:pPr>
      <w:keepNext/>
      <w:spacing w:after="80" w:before="320"/>
      <w:outlineLvl w:val="2"/>
    </w:pPr>
    <w:rPr>
      <w:rFonts w:ascii="Proxima Nova" w:cs="Proxima Nova" w:eastAsia="Proxima Nova" w:hAnsi="Proxima Nova"/>
      <w:b/>
      <w:bCs/>
      <w:color w:val="43434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c-a1f9-s818vpykgq6b" Type="http://schemas.openxmlformats.org/officeDocument/2006/relationships/hyperlink" Target="https://www.unhcr.org/innovation/data-innovation/" TargetMode="External"/><Relationship Id="rId73tiiihnxbjjieddkiblh" Type="http://schemas.openxmlformats.org/officeDocument/2006/relationships/hyperlink" Target="mailto:maldonam@unhcr.org" TargetMode="External"/><Relationship Id="rIdlp3gns9rtl5ncinyrkxhd" Type="http://schemas.openxmlformats.org/officeDocument/2006/relationships/hyperlink" Target="https://www.unhcr.org/innovation/data-innovation/" TargetMode="External"/><Relationship Id="rIdjhjwdbul42gxnifv45e8y" Type="http://schemas.openxmlformats.org/officeDocument/2006/relationships/hyperlink" Target="https://www.unhcr.org/digitalstrategy/ai-approach/" TargetMode="External"/><Relationship Id="rIdtajerai2wcfyg1c4x_w5q" Type="http://schemas.openxmlformats.org/officeDocument/2006/relationships/hyperlink" Target="https://www.unhcr.org/media/unhcr-wfp-joint-principles-targeting-assistance-meet-food-and-other-basic-needs" TargetMode="External"/><Relationship Id="rIdupbv-vw2m81qaqaxgwd6r" Type="http://schemas.openxmlformats.org/officeDocument/2006/relationships/hyperlink" Target="https://www.unhcr.org/handbooks/assessment/use/mapping-targeting-and-prioritization-approaches" TargetMode="External"/><Relationship Id="rId9wwwb1dvdtl49bbpsfxf2" Type="http://schemas.openxmlformats.org/officeDocument/2006/relationships/hyperlink" Target="https://unsceb.org/products/principles-ethical-use-artificial-intelligence-united-nations-system/" TargetMode="External"/><Relationship Id="rIdirkopni_dautxit9plmyu" Type="http://schemas.openxmlformats.org/officeDocument/2006/relationships/hyperlink" Target="https://www.essentialtech.ch/reports" TargetMode="External"/><Relationship Id="rIdjvnssztovjtpjswlznac7" Type="http://schemas.openxmlformats.org/officeDocument/2006/relationships/hyperlink" Target="https://www.unhcr.org/digitalstrategy/ai-approach/" TargetMode="External"/><Relationship Id="rIdb-2b7iduh-jdtfdorda3k" Type="http://schemas.openxmlformats.org/officeDocument/2006/relationships/hyperlink" Target="https://unsceb.org/products/principles-ethical-use-artificial-intelligence-united-nations-system/" TargetMode="External"/><Relationship Id="rIdya8cuktqbuk-7qrclv2rj" Type="http://schemas.openxmlformats.org/officeDocument/2006/relationships/hyperlink" Target="https://www.unhcr.org/media/unhcr-wfp-joint-principles-targeting-assistance-meet-food-and-other-basic-needs" TargetMode="External"/><Relationship Id="rIdtprnveeq9ittoe2y3p7nt" Type="http://schemas.openxmlformats.org/officeDocument/2006/relationships/hyperlink" Target="https://www.unhcr.org/handbooks/assessment/use/mapping-targeting-and-prioritization-approaches" TargetMode="External"/><Relationship Id="rIdl64yglonxp9te57qbvvct" Type="http://schemas.openxmlformats.org/officeDocument/2006/relationships/hyperlink" Target="https://www.essentialtech.ch/reports" TargetMode="External"/><Relationship Id="rIdsvna26tgyi6c-pwszxvqj" Type="http://schemas.openxmlformats.org/officeDocument/2006/relationships/hyperlink" Target="https://doi.org/10.1038/s41586-022-04484-9" TargetMode="External"/><Relationship Id="rIdlb1be5yonrncl43dluz4j" Type="http://schemas.openxmlformats.org/officeDocument/2006/relationships/hyperlink" Target="https://doi.org/10.1186/s41018-021-00096-6" TargetMode="External"/><Relationship Id="rIdteysfiehyees7xjmho5db" Type="http://schemas.openxmlformats.org/officeDocument/2006/relationships/hyperlink" Target="https://doi.org/10.1007/s00146-024-01886-3" TargetMode="External"/><Relationship Id="rIdsll7riursfrtaa6gcghsx" Type="http://schemas.openxmlformats.org/officeDocument/2006/relationships/hyperlink" Target="https://doi.org/10.1145/3776528" TargetMode="External"/><Relationship Id="rIdwjqf_hpievdxtylvgg_un" Type="http://schemas.openxmlformats.org/officeDocument/2006/relationships/hyperlink" Target="https://doi.org/10.1007/978-981-97-8440-0_98-1" TargetMode="External"/><Relationship Id="rIdf_pfsgeccymkfz1h1ote4" Type="http://schemas.openxmlformats.org/officeDocument/2006/relationships/hyperlink" Target="https://doi.org/10.1145/3630106.3658901" TargetMode="External"/><Relationship Id="rId4sh3qbzogexzkxkuygyg3" Type="http://schemas.openxmlformats.org/officeDocument/2006/relationships/hyperlink" Target="https://doi.org/10.1145/3581641.3584066" TargetMode="External"/><Relationship Id="rIdvqt23dax2n-vitjgophxc" Type="http://schemas.openxmlformats.org/officeDocument/2006/relationships/hyperlink" Target="https://doi.org/10.1145/3411764.3445562" TargetMode="External"/><Relationship Id="rIdjd8ueivznrksyjhd_shbu" Type="http://schemas.openxmlformats.org/officeDocument/2006/relationships/hyperlink" Target="https://doi.org/10.1145/3449287" TargetMode="External"/><Relationship Id="rId7b-yxbproecjy21abjelj" Type="http://schemas.openxmlformats.org/officeDocument/2006/relationships/hyperlink" Target="https://doi.org/10.1145/3579605" TargetMode="External"/><Relationship Id="rIde0j0pendv06tyh_bn4kvj" Type="http://schemas.openxmlformats.org/officeDocument/2006/relationships/hyperlink" Target="https://doi.org/10.1002/aaai.12182" TargetMode="External"/><Relationship Id="rIdepveggri45cowd_abpvdp" Type="http://schemas.openxmlformats.org/officeDocument/2006/relationships/hyperlink" Target="https://doi.org/10.1145/3290607.3312787" TargetMode="External"/><Relationship Id="rIdyo1b8hojhwzorbtjkj8zl" Type="http://schemas.openxmlformats.org/officeDocument/2006/relationships/hyperlink" Target="https://doi.org/10.1038/s41746-021-00385-9" TargetMode="External"/><Relationship Id="rIdqdqc5hpjkivdrbhe70puq" Type="http://schemas.openxmlformats.org/officeDocument/2006/relationships/hyperlink" Target="https://doi.org/10.1016/j.clsr.2022.105681" TargetMode="External"/><Relationship Id="rIdrz4y78nnfvcecid4fshk3" Type="http://schemas.openxmlformats.org/officeDocument/2006/relationships/hyperlink" Target="https://doi.org/10.1038/s42256-019-0114-4" TargetMode="External"/><Relationship Id="rIdcoxi95od87glwshfrprja" Type="http://schemas.openxmlformats.org/officeDocument/2006/relationships/hyperlink" Target="https://doi.org/10.1145/3351095.3372873" TargetMode="External"/><Relationship Id="rId7mmdcruj40xzh1l0i_k_f" Type="http://schemas.openxmlformats.org/officeDocument/2006/relationships/hyperlink" Target="https://doi.org/10.1145/3287560.3287596" TargetMode="External"/><Relationship Id="rIdgxbsrzviolqqdhu4frlwj" Type="http://schemas.openxmlformats.org/officeDocument/2006/relationships/hyperlink" Target="https://reliefweb.int/report/world/generative-ai-humanitarians-september-2023" TargetMode="External"/><Relationship Id="rId5-mhr9td5gvos-wg0fuup" Type="http://schemas.openxmlformats.org/officeDocument/2006/relationships/hyperlink" Target="https://doi.org/10.1017/S1816383121000011" TargetMode="External"/><Relationship Id="rIdkdpyenvpjpn6zvjwv4prc" Type="http://schemas.openxmlformats.org/officeDocument/2006/relationships/hyperlink" Target="https://doi.org/10.1017/S1816383122000261" TargetMode="External"/><Relationship Id="rIdopmlb7_4eqhzqccwuc_y7" Type="http://schemas.openxmlformats.org/officeDocument/2006/relationships/hyperlink" Target="https://www.frontiersin.org/articles/10.3389/fdata.2023.1082787/full" TargetMode="External"/><Relationship Id="rIdim00nhx04zymnvutgggl4" Type="http://schemas.openxmlformats.org/officeDocument/2006/relationships/hyperlink" Target="https://doi.org/10.1080/0960085X.2022.2026621" TargetMode="External"/><Relationship Id="rIdrgvbuxxcfamnjuxowf2yq" Type="http://schemas.openxmlformats.org/officeDocument/2006/relationships/hyperlink" Target="https://doi.org/10.1145/3722548"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2026-09-14T14:57:48.581Z</dcterms:created>
  <dcterms:modified xsi:type="dcterms:W3CDTF">2026-09-14T14:57:48.582Z</dcterms:modified>
</cp:coreProperties>
</file>

<file path=docProps/custom.xml><?xml version="1.0" encoding="utf-8"?>
<Properties xmlns="http://schemas.openxmlformats.org/officeDocument/2006/custom-properties" xmlns:vt="http://schemas.openxmlformats.org/officeDocument/2006/docPropsVTypes"/>
</file>